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F8B" w:rsidRPr="009A286A" w:rsidRDefault="00F9461B" w:rsidP="000D2F8B">
      <w:pPr>
        <w:pStyle w:val="NoSpacing"/>
        <w:jc w:val="center"/>
        <w:rPr>
          <w:b/>
        </w:rPr>
      </w:pPr>
      <w:r>
        <w:rPr>
          <w:b/>
        </w:rPr>
        <w:t>STANDING RESOLUTIOSN OF COUNCIL 2016</w:t>
      </w:r>
    </w:p>
    <w:p w:rsidR="000D2F8B" w:rsidRDefault="000D2F8B" w:rsidP="000D2F8B">
      <w:pPr>
        <w:pStyle w:val="NoSpacing"/>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D2F8B" w:rsidTr="000D2F8B">
        <w:tc>
          <w:tcPr>
            <w:tcW w:w="4675" w:type="dxa"/>
          </w:tcPr>
          <w:p w:rsidR="000D2F8B" w:rsidRDefault="00344443" w:rsidP="00344443">
            <w:pPr>
              <w:pStyle w:val="NoSpacing"/>
              <w:tabs>
                <w:tab w:val="left" w:pos="1590"/>
                <w:tab w:val="center" w:pos="2229"/>
              </w:tabs>
            </w:pPr>
            <w:r>
              <w:tab/>
            </w:r>
            <w:r>
              <w:tab/>
              <w:t>28 January 2016</w:t>
            </w:r>
          </w:p>
        </w:tc>
        <w:tc>
          <w:tcPr>
            <w:tcW w:w="4675" w:type="dxa"/>
          </w:tcPr>
          <w:p w:rsidR="000D2F8B" w:rsidRDefault="00344443" w:rsidP="000D2F8B">
            <w:pPr>
              <w:pStyle w:val="NoSpacing"/>
              <w:jc w:val="center"/>
            </w:pPr>
            <w:r>
              <w:t>Council</w:t>
            </w:r>
          </w:p>
        </w:tc>
      </w:tr>
    </w:tbl>
    <w:p w:rsidR="000D2F8B" w:rsidRDefault="000D2F8B" w:rsidP="000D2F8B">
      <w:pPr>
        <w:pStyle w:val="NoSpacing"/>
        <w:jc w:val="center"/>
      </w:pPr>
    </w:p>
    <w:p w:rsidR="00471082" w:rsidRDefault="00344443" w:rsidP="000D2F8B">
      <w:pPr>
        <w:pStyle w:val="NoSpacing"/>
      </w:pPr>
      <w:r>
        <w:t>This document contains the standing resolutions of Council currently in effect. Standing resolutions are motions passed through Council not for the purposes of amending policy (i.e., a motion to amend elections procedures) or issuing a directive (i.e. tasking an Executive to return with certain information) but have a legislative effect on the USC’s operations. These standing resolutions may be referred to as Council’s “common law.”</w:t>
      </w:r>
    </w:p>
    <w:p w:rsidR="00344443" w:rsidRDefault="00344443" w:rsidP="000D2F8B">
      <w:pPr>
        <w:pStyle w:val="NoSpacing"/>
      </w:pPr>
    </w:p>
    <w:p w:rsidR="00344443" w:rsidRDefault="00344443" w:rsidP="000D2F8B">
      <w:pPr>
        <w:pStyle w:val="NoSpacing"/>
      </w:pPr>
      <w:r>
        <w:t>Each resolution is listed by its unique number and contains the date the resolution was passed. Each resolution will also list the expiry date of the resolution should such a date exist. For all other standing resolutions the expiry date shall be marked as “in perpetuity.”</w:t>
      </w:r>
    </w:p>
    <w:p w:rsidR="00344443" w:rsidRDefault="00344443" w:rsidP="000D2F8B">
      <w:pPr>
        <w:pStyle w:val="NoSpacing"/>
      </w:pPr>
    </w:p>
    <w:p w:rsidR="00344443" w:rsidRDefault="00344443" w:rsidP="000D2F8B">
      <w:pPr>
        <w:pStyle w:val="NoSpacing"/>
      </w:pPr>
      <w:r>
        <w:t>Resolutions will remain in this list until they expire, at which time they shall be removed unless Council moves the resolution again. Resolutions marked as “in perpetuity” will remain in effect until such time as they are appealed by Council or becomes redundant (i.e. a resolution concerned with external leadership positions is redundant if there are no external leadership positions available).</w:t>
      </w:r>
    </w:p>
    <w:p w:rsidR="00344443" w:rsidRDefault="00344443" w:rsidP="000D2F8B">
      <w:pPr>
        <w:pStyle w:val="NoSpacing"/>
      </w:pPr>
    </w:p>
    <w:p w:rsidR="00344443" w:rsidRDefault="00344443" w:rsidP="000D2F8B">
      <w:pPr>
        <w:pStyle w:val="NoSpacing"/>
      </w:pPr>
      <w:r>
        <w:rPr>
          <w:b/>
        </w:rPr>
        <w:t>Note on motion numbers</w:t>
      </w:r>
      <w:r>
        <w:t>: Each that comes through Council has a unique number. The key for these motions is as follows:</w:t>
      </w:r>
    </w:p>
    <w:p w:rsidR="00344443" w:rsidRDefault="00344443" w:rsidP="00344443">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654"/>
      </w:tblGrid>
      <w:tr w:rsidR="00344443" w:rsidTr="00344443">
        <w:tc>
          <w:tcPr>
            <w:tcW w:w="1696" w:type="dxa"/>
          </w:tcPr>
          <w:p w:rsidR="00344443" w:rsidRPr="00F9461B" w:rsidRDefault="00344443" w:rsidP="00344443">
            <w:pPr>
              <w:pStyle w:val="NoSpacing"/>
            </w:pPr>
            <w:r w:rsidRPr="00F9461B">
              <w:t>Example</w:t>
            </w:r>
          </w:p>
        </w:tc>
        <w:tc>
          <w:tcPr>
            <w:tcW w:w="7654" w:type="dxa"/>
          </w:tcPr>
          <w:p w:rsidR="00344443" w:rsidRDefault="00344443" w:rsidP="00636A63">
            <w:pPr>
              <w:pStyle w:val="NoSpacing"/>
            </w:pPr>
            <w:r>
              <w:t>C11/12.3.2.2</w:t>
            </w:r>
          </w:p>
        </w:tc>
      </w:tr>
      <w:tr w:rsidR="00344443" w:rsidTr="00344443">
        <w:tc>
          <w:tcPr>
            <w:tcW w:w="1696" w:type="dxa"/>
          </w:tcPr>
          <w:p w:rsidR="00344443" w:rsidRPr="00F9461B" w:rsidRDefault="00344443" w:rsidP="00344443">
            <w:pPr>
              <w:pStyle w:val="NoSpacing"/>
            </w:pPr>
            <w:r w:rsidRPr="00F9461B">
              <w:t xml:space="preserve">C11 </w:t>
            </w:r>
          </w:p>
        </w:tc>
        <w:tc>
          <w:tcPr>
            <w:tcW w:w="7654" w:type="dxa"/>
          </w:tcPr>
          <w:p w:rsidR="00344443" w:rsidRDefault="00344443" w:rsidP="00344443">
            <w:pPr>
              <w:pStyle w:val="NoSpacing"/>
            </w:pPr>
            <w:r>
              <w:t>Council, 2011/2012 Year</w:t>
            </w:r>
          </w:p>
        </w:tc>
      </w:tr>
      <w:tr w:rsidR="00344443" w:rsidTr="00344443">
        <w:tc>
          <w:tcPr>
            <w:tcW w:w="1696" w:type="dxa"/>
          </w:tcPr>
          <w:p w:rsidR="00344443" w:rsidRPr="00F9461B" w:rsidRDefault="00344443" w:rsidP="00344443">
            <w:pPr>
              <w:pStyle w:val="NoSpacing"/>
            </w:pPr>
            <w:r w:rsidRPr="00F9461B">
              <w:t xml:space="preserve">12 </w:t>
            </w:r>
          </w:p>
        </w:tc>
        <w:tc>
          <w:tcPr>
            <w:tcW w:w="7654" w:type="dxa"/>
          </w:tcPr>
          <w:p w:rsidR="00344443" w:rsidRDefault="00344443" w:rsidP="00344443">
            <w:pPr>
              <w:pStyle w:val="NoSpacing"/>
            </w:pPr>
            <w:r>
              <w:t>Meeting Number – the 12</w:t>
            </w:r>
            <w:r w:rsidRPr="00344443">
              <w:rPr>
                <w:vertAlign w:val="superscript"/>
              </w:rPr>
              <w:t>th</w:t>
            </w:r>
            <w:r>
              <w:t xml:space="preserve"> meeting for the 2011/2012 year</w:t>
            </w:r>
          </w:p>
        </w:tc>
      </w:tr>
      <w:tr w:rsidR="00344443" w:rsidTr="00344443">
        <w:tc>
          <w:tcPr>
            <w:tcW w:w="1696" w:type="dxa"/>
          </w:tcPr>
          <w:p w:rsidR="00344443" w:rsidRPr="00F9461B" w:rsidRDefault="00344443" w:rsidP="00344443">
            <w:pPr>
              <w:pStyle w:val="NoSpacing"/>
            </w:pPr>
            <w:r w:rsidRPr="00F9461B">
              <w:t>3</w:t>
            </w:r>
          </w:p>
        </w:tc>
        <w:tc>
          <w:tcPr>
            <w:tcW w:w="7654" w:type="dxa"/>
          </w:tcPr>
          <w:p w:rsidR="00344443" w:rsidRDefault="00344443" w:rsidP="00344443">
            <w:pPr>
              <w:pStyle w:val="NoSpacing"/>
            </w:pPr>
            <w:r>
              <w:t>The motion number in that meeting</w:t>
            </w:r>
          </w:p>
        </w:tc>
      </w:tr>
      <w:tr w:rsidR="00344443" w:rsidTr="00344443">
        <w:tc>
          <w:tcPr>
            <w:tcW w:w="1696" w:type="dxa"/>
          </w:tcPr>
          <w:p w:rsidR="00344443" w:rsidRPr="00F9461B" w:rsidRDefault="00344443" w:rsidP="00344443">
            <w:pPr>
              <w:pStyle w:val="NoSpacing"/>
            </w:pPr>
            <w:r w:rsidRPr="00F9461B">
              <w:t>2</w:t>
            </w:r>
          </w:p>
        </w:tc>
        <w:tc>
          <w:tcPr>
            <w:tcW w:w="7654" w:type="dxa"/>
          </w:tcPr>
          <w:p w:rsidR="00344443" w:rsidRDefault="00344443" w:rsidP="00344443">
            <w:pPr>
              <w:pStyle w:val="NoSpacing"/>
            </w:pPr>
            <w:r>
              <w:t>Primary Amendment – notes this is the second primary amendment to the motion</w:t>
            </w:r>
          </w:p>
        </w:tc>
      </w:tr>
      <w:tr w:rsidR="00344443" w:rsidTr="00344443">
        <w:tc>
          <w:tcPr>
            <w:tcW w:w="1696" w:type="dxa"/>
          </w:tcPr>
          <w:p w:rsidR="00344443" w:rsidRPr="00F9461B" w:rsidRDefault="00344443" w:rsidP="00344443">
            <w:pPr>
              <w:pStyle w:val="NoSpacing"/>
            </w:pPr>
            <w:r w:rsidRPr="00F9461B">
              <w:t>2</w:t>
            </w:r>
          </w:p>
        </w:tc>
        <w:tc>
          <w:tcPr>
            <w:tcW w:w="7654" w:type="dxa"/>
          </w:tcPr>
          <w:p w:rsidR="00344443" w:rsidRDefault="00344443" w:rsidP="00344443">
            <w:pPr>
              <w:pStyle w:val="NoSpacing"/>
            </w:pPr>
            <w:r>
              <w:t>Secondary Amendment – notes this is the second secondary amendment to the motion</w:t>
            </w:r>
          </w:p>
        </w:tc>
      </w:tr>
    </w:tbl>
    <w:p w:rsidR="00344443" w:rsidRDefault="00344443" w:rsidP="00344443">
      <w:pPr>
        <w:pStyle w:val="NoSpacing"/>
      </w:pPr>
    </w:p>
    <w:p w:rsidR="00344443" w:rsidRDefault="00F9461B" w:rsidP="00F9461B">
      <w:pPr>
        <w:pStyle w:val="NoSpacing"/>
        <w:jc w:val="center"/>
      </w:pPr>
      <w:r>
        <w:rPr>
          <w:b/>
        </w:rPr>
        <w:t>Resolutions</w:t>
      </w:r>
    </w:p>
    <w:p w:rsidR="00F9461B" w:rsidRDefault="00F9461B" w:rsidP="00F9461B">
      <w:pPr>
        <w:pStyle w:val="NoSpacing"/>
        <w:jc w:val="center"/>
      </w:pPr>
    </w:p>
    <w:p w:rsidR="00F9461B" w:rsidRDefault="003663D1" w:rsidP="00F9461B">
      <w:pPr>
        <w:pStyle w:val="NoSpacing"/>
      </w:pPr>
      <w:r>
        <w:rPr>
          <w:b/>
        </w:rPr>
        <w:t>1. Executive External Leadership</w:t>
      </w:r>
    </w:p>
    <w:p w:rsidR="003663D1" w:rsidRDefault="003663D1" w:rsidP="00F9461B">
      <w:pPr>
        <w:pStyle w:val="NoSpacing"/>
      </w:pPr>
    </w:p>
    <w:tbl>
      <w:tblPr>
        <w:tblStyle w:val="TableGrid"/>
        <w:tblW w:w="0" w:type="auto"/>
        <w:tblLook w:val="04A0" w:firstRow="1" w:lastRow="0" w:firstColumn="1" w:lastColumn="0" w:noHBand="0" w:noVBand="1"/>
      </w:tblPr>
      <w:tblGrid>
        <w:gridCol w:w="9350"/>
      </w:tblGrid>
      <w:tr w:rsidR="003663D1" w:rsidTr="003663D1">
        <w:tc>
          <w:tcPr>
            <w:tcW w:w="9350" w:type="dxa"/>
          </w:tcPr>
          <w:p w:rsidR="003663D1" w:rsidRDefault="00B75FB3" w:rsidP="003663D1">
            <w:pPr>
              <w:pStyle w:val="NoSpacing"/>
              <w:jc w:val="center"/>
            </w:pPr>
            <w:hyperlink r:id="rId7">
              <w:r w:rsidR="00DF7E84">
                <w:rPr>
                  <w:rFonts w:ascii="Calibri" w:eastAsia="Calibri" w:hAnsi="Calibri" w:cs="Calibri"/>
                  <w:b/>
                  <w:color w:val="0000FF"/>
                  <w:spacing w:val="1"/>
                  <w:u w:val="single" w:color="0000FF"/>
                </w:rPr>
                <w:t>C</w:t>
              </w:r>
              <w:r w:rsidR="00DF7E84">
                <w:rPr>
                  <w:rFonts w:ascii="Calibri" w:eastAsia="Calibri" w:hAnsi="Calibri" w:cs="Calibri"/>
                  <w:b/>
                  <w:color w:val="0000FF"/>
                  <w:spacing w:val="-2"/>
                  <w:u w:val="single" w:color="0000FF"/>
                </w:rPr>
                <w:t>1</w:t>
              </w:r>
              <w:r w:rsidR="00DF7E84">
                <w:rPr>
                  <w:rFonts w:ascii="Calibri" w:eastAsia="Calibri" w:hAnsi="Calibri" w:cs="Calibri"/>
                  <w:b/>
                  <w:color w:val="0000FF"/>
                  <w:spacing w:val="1"/>
                  <w:u w:val="single" w:color="0000FF"/>
                </w:rPr>
                <w:t>2</w:t>
              </w:r>
              <w:r w:rsidR="00DF7E84">
                <w:rPr>
                  <w:rFonts w:ascii="Calibri" w:eastAsia="Calibri" w:hAnsi="Calibri" w:cs="Calibri"/>
                  <w:b/>
                  <w:color w:val="0000FF"/>
                  <w:spacing w:val="-1"/>
                  <w:u w:val="single" w:color="0000FF"/>
                </w:rPr>
                <w:t>/</w:t>
              </w:r>
              <w:r w:rsidR="00DF7E84">
                <w:rPr>
                  <w:rFonts w:ascii="Calibri" w:eastAsia="Calibri" w:hAnsi="Calibri" w:cs="Calibri"/>
                  <w:b/>
                  <w:color w:val="0000FF"/>
                  <w:spacing w:val="1"/>
                  <w:u w:val="single" w:color="0000FF"/>
                </w:rPr>
                <w:t>1</w:t>
              </w:r>
              <w:r w:rsidR="00DF7E84">
                <w:rPr>
                  <w:rFonts w:ascii="Calibri" w:eastAsia="Calibri" w:hAnsi="Calibri" w:cs="Calibri"/>
                  <w:b/>
                  <w:color w:val="0000FF"/>
                  <w:spacing w:val="-2"/>
                  <w:u w:val="single" w:color="0000FF"/>
                </w:rPr>
                <w:t>3</w:t>
              </w:r>
              <w:r w:rsidR="00DF7E84">
                <w:rPr>
                  <w:rFonts w:ascii="Calibri" w:eastAsia="Calibri" w:hAnsi="Calibri" w:cs="Calibri"/>
                  <w:b/>
                  <w:color w:val="0000FF"/>
                  <w:spacing w:val="1"/>
                  <w:u w:val="single" w:color="0000FF"/>
                </w:rPr>
                <w:t>.</w:t>
              </w:r>
              <w:r w:rsidR="00DF7E84">
                <w:rPr>
                  <w:rFonts w:ascii="Calibri" w:eastAsia="Calibri" w:hAnsi="Calibri" w:cs="Calibri"/>
                  <w:b/>
                  <w:color w:val="0000FF"/>
                  <w:spacing w:val="-2"/>
                  <w:u w:val="single" w:color="0000FF"/>
                </w:rPr>
                <w:t>8</w:t>
              </w:r>
              <w:r w:rsidR="00DF7E84">
                <w:rPr>
                  <w:rFonts w:ascii="Calibri" w:eastAsia="Calibri" w:hAnsi="Calibri" w:cs="Calibri"/>
                  <w:b/>
                  <w:color w:val="0000FF"/>
                  <w:spacing w:val="1"/>
                  <w:u w:val="single" w:color="0000FF"/>
                </w:rPr>
                <w:t>.</w:t>
              </w:r>
              <w:r w:rsidR="00DF7E84">
                <w:rPr>
                  <w:rFonts w:ascii="Calibri" w:eastAsia="Calibri" w:hAnsi="Calibri" w:cs="Calibri"/>
                  <w:b/>
                  <w:color w:val="0000FF"/>
                  <w:u w:val="single" w:color="0000FF"/>
                </w:rPr>
                <w:t>5</w:t>
              </w:r>
            </w:hyperlink>
          </w:p>
        </w:tc>
      </w:tr>
      <w:tr w:rsidR="003663D1" w:rsidTr="003663D1">
        <w:tc>
          <w:tcPr>
            <w:tcW w:w="9350" w:type="dxa"/>
          </w:tcPr>
          <w:p w:rsidR="003663D1" w:rsidRDefault="003663D1" w:rsidP="003663D1">
            <w:pPr>
              <w:pStyle w:val="NoSpacing"/>
              <w:jc w:val="center"/>
            </w:pPr>
            <w:r>
              <w:t>Effective Date: 16 March 2013</w:t>
            </w:r>
          </w:p>
        </w:tc>
      </w:tr>
      <w:tr w:rsidR="003663D1" w:rsidTr="003663D1">
        <w:tc>
          <w:tcPr>
            <w:tcW w:w="9350" w:type="dxa"/>
          </w:tcPr>
          <w:p w:rsidR="003663D1" w:rsidRDefault="003663D1" w:rsidP="003663D1">
            <w:pPr>
              <w:pStyle w:val="NoSpacing"/>
              <w:jc w:val="center"/>
            </w:pPr>
            <w:r>
              <w:t>Expiry Date: in perpetuity</w:t>
            </w:r>
          </w:p>
        </w:tc>
      </w:tr>
    </w:tbl>
    <w:p w:rsidR="003663D1" w:rsidRPr="003663D1" w:rsidRDefault="003663D1" w:rsidP="00F9461B">
      <w:pPr>
        <w:pStyle w:val="NoSpacing"/>
      </w:pPr>
    </w:p>
    <w:p w:rsidR="003663D1" w:rsidRDefault="003663D1" w:rsidP="003663D1">
      <w:pPr>
        <w:ind w:left="220" w:right="468"/>
        <w:rPr>
          <w:rFonts w:ascii="Calibri" w:eastAsia="Calibri" w:hAnsi="Calibri" w:cs="Calibri"/>
          <w:sz w:val="22"/>
          <w:szCs w:val="22"/>
        </w:rPr>
      </w:pPr>
      <w:r>
        <w:rPr>
          <w:rFonts w:ascii="Calibri" w:eastAsia="Calibri" w:hAnsi="Calibri" w:cs="Calibri"/>
          <w:b/>
          <w:spacing w:val="1"/>
          <w:sz w:val="22"/>
          <w:szCs w:val="22"/>
        </w:rPr>
        <w:t>B</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t</w:t>
      </w:r>
      <w:r>
        <w:rPr>
          <w:rFonts w:ascii="Calibri" w:eastAsia="Calibri" w:hAnsi="Calibri" w:cs="Calibri"/>
          <w:b/>
          <w:spacing w:val="-2"/>
          <w:sz w:val="22"/>
          <w:szCs w:val="22"/>
        </w:rPr>
        <w:t xml:space="preserve"> </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3"/>
          <w:sz w:val="22"/>
          <w:szCs w:val="22"/>
        </w:rPr>
        <w:t>o</w:t>
      </w:r>
      <w:r>
        <w:rPr>
          <w:rFonts w:ascii="Calibri" w:eastAsia="Calibri" w:hAnsi="Calibri" w:cs="Calibri"/>
          <w:b/>
          <w:spacing w:val="1"/>
          <w:sz w:val="22"/>
          <w:szCs w:val="22"/>
        </w:rPr>
        <w:t>lv</w:t>
      </w:r>
      <w:r>
        <w:rPr>
          <w:rFonts w:ascii="Calibri" w:eastAsia="Calibri" w:hAnsi="Calibri" w:cs="Calibri"/>
          <w:b/>
          <w:spacing w:val="-1"/>
          <w:sz w:val="22"/>
          <w:szCs w:val="22"/>
        </w:rPr>
        <w:t>e</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t</w:t>
      </w:r>
      <w:r>
        <w:rPr>
          <w:rFonts w:ascii="Calibri" w:eastAsia="Calibri" w:hAnsi="Calibri" w:cs="Calibri"/>
          <w:b/>
          <w:spacing w:val="-1"/>
          <w:sz w:val="22"/>
          <w:szCs w:val="22"/>
        </w:rPr>
        <w:t>ha</w:t>
      </w:r>
      <w:r>
        <w:rPr>
          <w:rFonts w:ascii="Calibri" w:eastAsia="Calibri" w:hAnsi="Calibri" w:cs="Calibri"/>
          <w:b/>
          <w:spacing w:val="2"/>
          <w:sz w:val="22"/>
          <w:szCs w:val="22"/>
        </w:rPr>
        <w:t>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3"/>
          <w:sz w:val="22"/>
          <w:szCs w:val="22"/>
        </w:rPr>
        <w:t>b</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 E</w:t>
      </w:r>
      <w:r>
        <w:rPr>
          <w:rFonts w:ascii="Calibri" w:eastAsia="Calibri" w:hAnsi="Calibri" w:cs="Calibri"/>
          <w:spacing w:val="-2"/>
          <w:sz w:val="22"/>
          <w:szCs w:val="22"/>
        </w:rPr>
        <w:t>x</w:t>
      </w:r>
      <w:r>
        <w:rPr>
          <w:rFonts w:ascii="Calibri" w:eastAsia="Calibri" w:hAnsi="Calibri" w:cs="Calibri"/>
          <w:sz w:val="22"/>
          <w:szCs w:val="22"/>
        </w:rPr>
        <w:t>ecuti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 xml:space="preserve"> ob</w:t>
      </w:r>
      <w:r>
        <w:rPr>
          <w:rFonts w:ascii="Calibri" w:eastAsia="Calibri" w:hAnsi="Calibri" w:cs="Calibri"/>
          <w:sz w:val="22"/>
          <w:szCs w:val="22"/>
        </w:rPr>
        <w:t>tain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z w:val="22"/>
          <w:szCs w:val="22"/>
        </w:rPr>
        <w:t>iss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by</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j</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 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 xml:space="preserve">cil </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ru</w:t>
      </w:r>
      <w:r>
        <w:rPr>
          <w:rFonts w:ascii="Calibri" w:eastAsia="Calibri" w:hAnsi="Calibri" w:cs="Calibri"/>
          <w:spacing w:val="-1"/>
          <w:sz w:val="22"/>
          <w:szCs w:val="22"/>
        </w:rPr>
        <w:t>nn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any</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x</w:t>
      </w:r>
      <w:r>
        <w:rPr>
          <w:rFonts w:ascii="Calibri" w:eastAsia="Calibri" w:hAnsi="Calibri" w:cs="Calibri"/>
          <w:spacing w:val="1"/>
          <w:sz w:val="22"/>
          <w:szCs w:val="22"/>
        </w:rPr>
        <w:t>t</w:t>
      </w:r>
      <w:r>
        <w:rPr>
          <w:rFonts w:ascii="Calibri" w:eastAsia="Calibri" w:hAnsi="Calibri" w:cs="Calibri"/>
          <w:sz w:val="22"/>
          <w:szCs w:val="22"/>
        </w:rPr>
        <w:t>ern</w:t>
      </w:r>
      <w:r>
        <w:rPr>
          <w:rFonts w:ascii="Calibri" w:eastAsia="Calibri" w:hAnsi="Calibri" w:cs="Calibri"/>
          <w:spacing w:val="-1"/>
          <w:sz w:val="22"/>
          <w:szCs w:val="22"/>
        </w:rPr>
        <w:t>a</w:t>
      </w:r>
      <w:r>
        <w:rPr>
          <w:rFonts w:ascii="Calibri" w:eastAsia="Calibri" w:hAnsi="Calibri" w:cs="Calibri"/>
          <w:sz w:val="22"/>
          <w:szCs w:val="22"/>
        </w:rPr>
        <w:t>l</w:t>
      </w:r>
      <w:r>
        <w:rPr>
          <w:rFonts w:ascii="Calibri" w:eastAsia="Calibri" w:hAnsi="Calibri" w:cs="Calibri"/>
          <w:spacing w:val="50"/>
          <w:sz w:val="22"/>
          <w:szCs w:val="22"/>
        </w:rPr>
        <w:t xml:space="preserve"> </w:t>
      </w:r>
      <w:r>
        <w:rPr>
          <w:rFonts w:ascii="Calibri" w:eastAsia="Calibri" w:hAnsi="Calibri" w:cs="Calibri"/>
          <w:sz w:val="22"/>
          <w:szCs w:val="22"/>
        </w:rPr>
        <w:t>rep</w:t>
      </w:r>
      <w:r>
        <w:rPr>
          <w:rFonts w:ascii="Calibri" w:eastAsia="Calibri" w:hAnsi="Calibri" w:cs="Calibri"/>
          <w:spacing w:val="-3"/>
          <w:sz w:val="22"/>
          <w:szCs w:val="22"/>
        </w:rPr>
        <w:t>r</w:t>
      </w:r>
      <w:r>
        <w:rPr>
          <w:rFonts w:ascii="Calibri" w:eastAsia="Calibri" w:hAnsi="Calibri" w:cs="Calibri"/>
          <w:sz w:val="22"/>
          <w:szCs w:val="22"/>
        </w:rPr>
        <w:t>es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that</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ire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S</w:t>
      </w:r>
      <w:r>
        <w:rPr>
          <w:rFonts w:ascii="Calibri" w:eastAsia="Calibri" w:hAnsi="Calibri" w:cs="Calibri"/>
          <w:sz w:val="22"/>
          <w:szCs w:val="22"/>
        </w:rPr>
        <w:t>C</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4"/>
          <w:sz w:val="22"/>
          <w:szCs w:val="22"/>
        </w:rPr>
        <w:t>o</w:t>
      </w:r>
      <w:r>
        <w:rPr>
          <w:rFonts w:ascii="Calibri" w:eastAsia="Calibri" w:hAnsi="Calibri" w:cs="Calibri"/>
          <w:spacing w:val="-1"/>
          <w:sz w:val="22"/>
          <w:szCs w:val="22"/>
        </w:rPr>
        <w:t>v</w:t>
      </w:r>
      <w:r>
        <w:rPr>
          <w:rFonts w:ascii="Calibri" w:eastAsia="Calibri" w:hAnsi="Calibri" w:cs="Calibri"/>
          <w:sz w:val="22"/>
          <w:szCs w:val="22"/>
        </w:rPr>
        <w:t xml:space="preserve">er the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sts,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z w:val="22"/>
          <w:szCs w:val="22"/>
        </w:rPr>
        <w:t>en p</w:t>
      </w:r>
      <w:r>
        <w:rPr>
          <w:rFonts w:ascii="Calibri" w:eastAsia="Calibri" w:hAnsi="Calibri" w:cs="Calibri"/>
          <w:spacing w:val="-1"/>
          <w:sz w:val="22"/>
          <w:szCs w:val="22"/>
        </w:rPr>
        <w:t>a</w:t>
      </w:r>
      <w:r>
        <w:rPr>
          <w:rFonts w:ascii="Calibri" w:eastAsia="Calibri" w:hAnsi="Calibri" w:cs="Calibri"/>
          <w:sz w:val="22"/>
          <w:szCs w:val="22"/>
        </w:rPr>
        <w:t>rtial</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sts,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such</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sit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p>
    <w:p w:rsidR="003663D1" w:rsidRDefault="003663D1" w:rsidP="003663D1">
      <w:pPr>
        <w:tabs>
          <w:tab w:val="left" w:pos="3660"/>
        </w:tabs>
        <w:spacing w:before="9" w:line="260" w:lineRule="exact"/>
        <w:rPr>
          <w:sz w:val="26"/>
          <w:szCs w:val="26"/>
        </w:rPr>
      </w:pPr>
      <w:r>
        <w:rPr>
          <w:sz w:val="26"/>
          <w:szCs w:val="26"/>
        </w:rPr>
        <w:tab/>
      </w:r>
    </w:p>
    <w:p w:rsidR="003663D1" w:rsidRDefault="003663D1" w:rsidP="003663D1">
      <w:pPr>
        <w:ind w:left="220" w:right="251"/>
        <w:rPr>
          <w:rFonts w:ascii="Calibri" w:eastAsia="Calibri" w:hAnsi="Calibri" w:cs="Calibri"/>
          <w:sz w:val="22"/>
          <w:szCs w:val="22"/>
        </w:rPr>
      </w:pPr>
      <w:r>
        <w:rPr>
          <w:rFonts w:ascii="Calibri" w:eastAsia="Calibri" w:hAnsi="Calibri" w:cs="Calibri"/>
          <w:b/>
          <w:spacing w:val="1"/>
          <w:sz w:val="22"/>
          <w:szCs w:val="22"/>
        </w:rPr>
        <w:t>B</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t</w:t>
      </w:r>
      <w:r>
        <w:rPr>
          <w:rFonts w:ascii="Calibri" w:eastAsia="Calibri" w:hAnsi="Calibri" w:cs="Calibri"/>
          <w:b/>
          <w:spacing w:val="-2"/>
          <w:sz w:val="22"/>
          <w:szCs w:val="22"/>
        </w:rPr>
        <w:t xml:space="preserve"> </w:t>
      </w:r>
      <w:r>
        <w:rPr>
          <w:rFonts w:ascii="Calibri" w:eastAsia="Calibri" w:hAnsi="Calibri" w:cs="Calibri"/>
          <w:b/>
          <w:sz w:val="22"/>
          <w:szCs w:val="22"/>
        </w:rPr>
        <w:t>furth</w:t>
      </w:r>
      <w:r>
        <w:rPr>
          <w:rFonts w:ascii="Calibri" w:eastAsia="Calibri" w:hAnsi="Calibri" w:cs="Calibri"/>
          <w:b/>
          <w:spacing w:val="-1"/>
          <w:sz w:val="22"/>
          <w:szCs w:val="22"/>
        </w:rPr>
        <w:t>e</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1"/>
          <w:sz w:val="22"/>
          <w:szCs w:val="22"/>
        </w:rPr>
        <w:t>ol</w:t>
      </w:r>
      <w:r>
        <w:rPr>
          <w:rFonts w:ascii="Calibri" w:eastAsia="Calibri" w:hAnsi="Calibri" w:cs="Calibri"/>
          <w:b/>
          <w:spacing w:val="1"/>
          <w:sz w:val="22"/>
          <w:szCs w:val="22"/>
        </w:rPr>
        <w:t>v</w:t>
      </w:r>
      <w:r>
        <w:rPr>
          <w:rFonts w:ascii="Calibri" w:eastAsia="Calibri" w:hAnsi="Calibri" w:cs="Calibri"/>
          <w:b/>
          <w:spacing w:val="-1"/>
          <w:sz w:val="22"/>
          <w:szCs w:val="22"/>
        </w:rPr>
        <w:t>e</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t</w:t>
      </w:r>
      <w:r>
        <w:rPr>
          <w:rFonts w:ascii="Calibri" w:eastAsia="Calibri" w:hAnsi="Calibri" w:cs="Calibri"/>
          <w:b/>
          <w:spacing w:val="-1"/>
          <w:sz w:val="22"/>
          <w:szCs w:val="22"/>
        </w:rPr>
        <w:t>ha</w:t>
      </w:r>
      <w:r>
        <w:rPr>
          <w:rFonts w:ascii="Calibri" w:eastAsia="Calibri" w:hAnsi="Calibri" w:cs="Calibri"/>
          <w:b/>
          <w:spacing w:val="2"/>
          <w:sz w:val="22"/>
          <w:szCs w:val="22"/>
        </w:rPr>
        <w:t>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r</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x</w:t>
      </w:r>
      <w:r>
        <w:rPr>
          <w:rFonts w:ascii="Calibri" w:eastAsia="Calibri" w:hAnsi="Calibri" w:cs="Calibri"/>
          <w:sz w:val="22"/>
          <w:szCs w:val="22"/>
        </w:rPr>
        <w:t>ecuti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4"/>
          <w:sz w:val="22"/>
          <w:szCs w:val="22"/>
        </w:rPr>
        <w:t>b</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cil,</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sal</w:t>
      </w:r>
      <w:r>
        <w:rPr>
          <w:rFonts w:ascii="Calibri" w:eastAsia="Calibri" w:hAnsi="Calibri" w:cs="Calibri"/>
          <w:spacing w:val="-2"/>
          <w:sz w:val="22"/>
          <w:szCs w:val="22"/>
        </w:rPr>
        <w:t xml:space="preserve"> </w:t>
      </w:r>
      <w:r>
        <w:rPr>
          <w:rFonts w:ascii="Calibri" w:eastAsia="Calibri" w:hAnsi="Calibri" w:cs="Calibri"/>
          <w:sz w:val="22"/>
          <w:szCs w:val="22"/>
        </w:rPr>
        <w:t xml:space="preserve">as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why</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 xml:space="preserve">is </w:t>
      </w:r>
      <w:r>
        <w:rPr>
          <w:rFonts w:ascii="Calibri" w:eastAsia="Calibri" w:hAnsi="Calibri" w:cs="Calibri"/>
          <w:spacing w:val="-1"/>
          <w:sz w:val="22"/>
          <w:szCs w:val="22"/>
        </w:rPr>
        <w:t>b</w:t>
      </w:r>
      <w:r>
        <w:rPr>
          <w:rFonts w:ascii="Calibri" w:eastAsia="Calibri" w:hAnsi="Calibri" w:cs="Calibri"/>
          <w:sz w:val="22"/>
          <w:szCs w:val="22"/>
        </w:rPr>
        <w:t xml:space="preserve">eneficial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S</w:t>
      </w:r>
      <w:r>
        <w:rPr>
          <w:rFonts w:ascii="Calibri" w:eastAsia="Calibri" w:hAnsi="Calibri" w:cs="Calibri"/>
          <w:sz w:val="22"/>
          <w:szCs w:val="22"/>
        </w:rPr>
        <w:t>C,</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stu</w:t>
      </w:r>
      <w:r>
        <w:rPr>
          <w:rFonts w:ascii="Calibri" w:eastAsia="Calibri" w:hAnsi="Calibri" w:cs="Calibri"/>
          <w:spacing w:val="-1"/>
          <w:sz w:val="22"/>
          <w:szCs w:val="22"/>
        </w:rPr>
        <w:t>d</w:t>
      </w:r>
      <w:r>
        <w:rPr>
          <w:rFonts w:ascii="Calibri" w:eastAsia="Calibri" w:hAnsi="Calibri" w:cs="Calibri"/>
          <w:sz w:val="22"/>
          <w:szCs w:val="22"/>
        </w:rPr>
        <w:t>ent</w:t>
      </w:r>
      <w:r>
        <w:rPr>
          <w:rFonts w:ascii="Calibri" w:eastAsia="Calibri" w:hAnsi="Calibri" w:cs="Calibri"/>
          <w:spacing w:val="-2"/>
          <w:sz w:val="22"/>
          <w:szCs w:val="22"/>
        </w:rPr>
        <w:t>s</w:t>
      </w:r>
      <w:r>
        <w:rPr>
          <w:rFonts w:ascii="Calibri" w:eastAsia="Calibri" w:hAnsi="Calibri" w:cs="Calibri"/>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3"/>
          <w:sz w:val="22"/>
          <w:szCs w:val="22"/>
        </w:rPr>
        <w:t>a</w:t>
      </w:r>
      <w:r>
        <w:rPr>
          <w:rFonts w:ascii="Calibri" w:eastAsia="Calibri" w:hAnsi="Calibri" w:cs="Calibri"/>
          <w:sz w:val="22"/>
          <w:szCs w:val="22"/>
        </w:rPr>
        <w:t>ke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 r</w:t>
      </w:r>
      <w:r>
        <w:rPr>
          <w:rFonts w:ascii="Calibri" w:eastAsia="Calibri" w:hAnsi="Calibri" w:cs="Calibri"/>
          <w:spacing w:val="-2"/>
          <w:sz w:val="22"/>
          <w:szCs w:val="22"/>
        </w:rPr>
        <w:t>e</w:t>
      </w:r>
      <w:r>
        <w:rPr>
          <w:rFonts w:ascii="Calibri" w:eastAsia="Calibri" w:hAnsi="Calibri" w:cs="Calibri"/>
          <w:sz w:val="22"/>
          <w:szCs w:val="22"/>
        </w:rPr>
        <w:t>sponsi</w:t>
      </w:r>
      <w:r>
        <w:rPr>
          <w:rFonts w:ascii="Calibri" w:eastAsia="Calibri" w:hAnsi="Calibri" w:cs="Calibri"/>
          <w:spacing w:val="-1"/>
          <w:sz w:val="22"/>
          <w:szCs w:val="22"/>
        </w:rPr>
        <w:t>b</w:t>
      </w:r>
      <w:r>
        <w:rPr>
          <w:rFonts w:ascii="Calibri" w:eastAsia="Calibri" w:hAnsi="Calibri" w:cs="Calibri"/>
          <w:sz w:val="22"/>
          <w:szCs w:val="22"/>
        </w:rPr>
        <w:t>iliti</w:t>
      </w:r>
      <w:r>
        <w:rPr>
          <w:rFonts w:ascii="Calibri" w:eastAsia="Calibri" w:hAnsi="Calibri" w:cs="Calibri"/>
          <w:spacing w:val="-2"/>
          <w:sz w:val="22"/>
          <w:szCs w:val="22"/>
        </w:rPr>
        <w:t>e</w:t>
      </w:r>
      <w:r>
        <w:rPr>
          <w:rFonts w:ascii="Calibri" w:eastAsia="Calibri" w:hAnsi="Calibri" w:cs="Calibri"/>
          <w:sz w:val="22"/>
          <w:szCs w:val="22"/>
        </w:rPr>
        <w:t xml:space="preserve">s </w:t>
      </w:r>
      <w:r>
        <w:rPr>
          <w:rFonts w:ascii="Calibri" w:eastAsia="Calibri" w:hAnsi="Calibri" w:cs="Calibri"/>
          <w:spacing w:val="1"/>
          <w:sz w:val="22"/>
          <w:szCs w:val="22"/>
        </w:rPr>
        <w:t>(</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related</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 xml:space="preserve">an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tside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z</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p>
    <w:p w:rsidR="003663D1" w:rsidRDefault="003663D1" w:rsidP="003663D1">
      <w:pPr>
        <w:spacing w:before="9" w:line="260" w:lineRule="exact"/>
        <w:rPr>
          <w:sz w:val="26"/>
          <w:szCs w:val="26"/>
        </w:rPr>
      </w:pPr>
    </w:p>
    <w:p w:rsidR="003663D1" w:rsidRDefault="003663D1" w:rsidP="003663D1">
      <w:pPr>
        <w:spacing w:line="260" w:lineRule="exact"/>
        <w:ind w:left="220"/>
        <w:rPr>
          <w:rFonts w:ascii="Calibri" w:eastAsia="Calibri" w:hAnsi="Calibri" w:cs="Calibri"/>
          <w:sz w:val="22"/>
          <w:szCs w:val="22"/>
        </w:rPr>
      </w:pPr>
      <w:r>
        <w:rPr>
          <w:rFonts w:ascii="Calibri" w:eastAsia="Calibri" w:hAnsi="Calibri" w:cs="Calibri"/>
          <w:b/>
          <w:spacing w:val="1"/>
          <w:sz w:val="22"/>
          <w:szCs w:val="22"/>
        </w:rPr>
        <w:t>B</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t</w:t>
      </w:r>
      <w:r>
        <w:rPr>
          <w:rFonts w:ascii="Calibri" w:eastAsia="Calibri" w:hAnsi="Calibri" w:cs="Calibri"/>
          <w:b/>
          <w:spacing w:val="-2"/>
          <w:sz w:val="22"/>
          <w:szCs w:val="22"/>
        </w:rPr>
        <w:t xml:space="preserve"> </w:t>
      </w:r>
      <w:r>
        <w:rPr>
          <w:rFonts w:ascii="Calibri" w:eastAsia="Calibri" w:hAnsi="Calibri" w:cs="Calibri"/>
          <w:b/>
          <w:sz w:val="22"/>
          <w:szCs w:val="22"/>
        </w:rPr>
        <w:t>furth</w:t>
      </w:r>
      <w:r>
        <w:rPr>
          <w:rFonts w:ascii="Calibri" w:eastAsia="Calibri" w:hAnsi="Calibri" w:cs="Calibri"/>
          <w:b/>
          <w:spacing w:val="-1"/>
          <w:sz w:val="22"/>
          <w:szCs w:val="22"/>
        </w:rPr>
        <w:t>e</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1"/>
          <w:sz w:val="22"/>
          <w:szCs w:val="22"/>
        </w:rPr>
        <w:t>ol</w:t>
      </w:r>
      <w:r>
        <w:rPr>
          <w:rFonts w:ascii="Calibri" w:eastAsia="Calibri" w:hAnsi="Calibri" w:cs="Calibri"/>
          <w:b/>
          <w:spacing w:val="1"/>
          <w:sz w:val="22"/>
          <w:szCs w:val="22"/>
        </w:rPr>
        <w:t>v</w:t>
      </w:r>
      <w:r>
        <w:rPr>
          <w:rFonts w:ascii="Calibri" w:eastAsia="Calibri" w:hAnsi="Calibri" w:cs="Calibri"/>
          <w:b/>
          <w:spacing w:val="-1"/>
          <w:sz w:val="22"/>
          <w:szCs w:val="22"/>
        </w:rPr>
        <w:t>e</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t</w:t>
      </w:r>
      <w:r>
        <w:rPr>
          <w:rFonts w:ascii="Calibri" w:eastAsia="Calibri" w:hAnsi="Calibri" w:cs="Calibri"/>
          <w:b/>
          <w:spacing w:val="-1"/>
          <w:sz w:val="22"/>
          <w:szCs w:val="22"/>
        </w:rPr>
        <w:t>ha</w:t>
      </w:r>
      <w:r>
        <w:rPr>
          <w:rFonts w:ascii="Calibri" w:eastAsia="Calibri" w:hAnsi="Calibri" w:cs="Calibri"/>
          <w:b/>
          <w:spacing w:val="2"/>
          <w:sz w:val="22"/>
          <w:szCs w:val="22"/>
        </w:rPr>
        <w:t>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x</w:t>
      </w:r>
      <w:r>
        <w:rPr>
          <w:rFonts w:ascii="Calibri" w:eastAsia="Calibri" w:hAnsi="Calibri" w:cs="Calibri"/>
          <w:spacing w:val="1"/>
          <w:sz w:val="22"/>
          <w:szCs w:val="22"/>
        </w:rPr>
        <w:t>e</w:t>
      </w:r>
      <w:r>
        <w:rPr>
          <w:rFonts w:ascii="Calibri" w:eastAsia="Calibri" w:hAnsi="Calibri" w:cs="Calibri"/>
          <w:sz w:val="22"/>
          <w:szCs w:val="22"/>
        </w:rPr>
        <w:t>cut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3"/>
          <w:sz w:val="22"/>
          <w:szCs w:val="22"/>
        </w:rPr>
        <w:t>f</w:t>
      </w:r>
      <w:r>
        <w:rPr>
          <w:rFonts w:ascii="Calibri" w:eastAsia="Calibri" w:hAnsi="Calibri" w:cs="Calibri"/>
          <w:sz w:val="22"/>
          <w:szCs w:val="22"/>
        </w:rPr>
        <w:t>erence</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pacing w:val="1"/>
          <w:sz w:val="22"/>
          <w:szCs w:val="22"/>
        </w:rPr>
        <w:t>mo</w:t>
      </w:r>
      <w:r>
        <w:rPr>
          <w:rFonts w:ascii="Calibri" w:eastAsia="Calibri" w:hAnsi="Calibri" w:cs="Calibri"/>
          <w:spacing w:val="-1"/>
          <w:sz w:val="22"/>
          <w:szCs w:val="22"/>
        </w:rPr>
        <w:t>d</w:t>
      </w:r>
      <w:r>
        <w:rPr>
          <w:rFonts w:ascii="Calibri" w:eastAsia="Calibri" w:hAnsi="Calibri" w:cs="Calibri"/>
          <w:sz w:val="22"/>
          <w:szCs w:val="22"/>
        </w:rPr>
        <w:t>if</w:t>
      </w:r>
      <w:r>
        <w:rPr>
          <w:rFonts w:ascii="Calibri" w:eastAsia="Calibri" w:hAnsi="Calibri" w:cs="Calibri"/>
          <w:spacing w:val="-3"/>
          <w:sz w:val="22"/>
          <w:szCs w:val="22"/>
        </w:rPr>
        <w:t>i</w:t>
      </w:r>
      <w:r>
        <w:rPr>
          <w:rFonts w:ascii="Calibri" w:eastAsia="Calibri" w:hAnsi="Calibri" w:cs="Calibri"/>
          <w:sz w:val="22"/>
          <w:szCs w:val="22"/>
        </w:rPr>
        <w:t xml:space="preserve">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f</w:t>
      </w:r>
      <w:r>
        <w:rPr>
          <w:rFonts w:ascii="Calibri" w:eastAsia="Calibri" w:hAnsi="Calibri" w:cs="Calibri"/>
          <w:spacing w:val="-3"/>
          <w:sz w:val="22"/>
          <w:szCs w:val="22"/>
        </w:rPr>
        <w:t>l</w:t>
      </w:r>
      <w:r>
        <w:rPr>
          <w:rFonts w:ascii="Calibri" w:eastAsia="Calibri" w:hAnsi="Calibri" w:cs="Calibri"/>
          <w:spacing w:val="-2"/>
          <w:sz w:val="22"/>
          <w:szCs w:val="22"/>
        </w:rPr>
        <w:t>e</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ang</w:t>
      </w:r>
      <w:r>
        <w:rPr>
          <w:rFonts w:ascii="Calibri" w:eastAsia="Calibri" w:hAnsi="Calibri" w:cs="Calibri"/>
          <w:sz w:val="22"/>
          <w:szCs w:val="22"/>
        </w:rPr>
        <w:t>e.</w:t>
      </w:r>
    </w:p>
    <w:p w:rsidR="003663D1" w:rsidRDefault="003663D1" w:rsidP="000D2F8B">
      <w:pPr>
        <w:pStyle w:val="NoSpacing"/>
      </w:pPr>
      <w:r>
        <w:rPr>
          <w:b/>
        </w:rPr>
        <w:lastRenderedPageBreak/>
        <w:t>2. Budgetary Practices</w:t>
      </w:r>
    </w:p>
    <w:p w:rsidR="003663D1" w:rsidRDefault="003663D1" w:rsidP="000D2F8B">
      <w:pPr>
        <w:pStyle w:val="NoSpacing"/>
      </w:pPr>
    </w:p>
    <w:tbl>
      <w:tblPr>
        <w:tblStyle w:val="TableGrid"/>
        <w:tblW w:w="0" w:type="auto"/>
        <w:tblLook w:val="04A0" w:firstRow="1" w:lastRow="0" w:firstColumn="1" w:lastColumn="0" w:noHBand="0" w:noVBand="1"/>
      </w:tblPr>
      <w:tblGrid>
        <w:gridCol w:w="9350"/>
      </w:tblGrid>
      <w:tr w:rsidR="003663D1" w:rsidTr="003663D1">
        <w:tc>
          <w:tcPr>
            <w:tcW w:w="9350" w:type="dxa"/>
          </w:tcPr>
          <w:p w:rsidR="003663D1" w:rsidRPr="00DF7E84" w:rsidRDefault="00DF7E84" w:rsidP="00DF7E84">
            <w:pPr>
              <w:pStyle w:val="NoSpacing"/>
              <w:tabs>
                <w:tab w:val="left" w:pos="3990"/>
                <w:tab w:val="center" w:pos="4567"/>
              </w:tabs>
              <w:rPr>
                <w:u w:val="single"/>
              </w:rPr>
            </w:pPr>
            <w:r>
              <w:tab/>
            </w:r>
            <w:r>
              <w:tab/>
            </w:r>
            <w:hyperlink r:id="rId8">
              <w:r w:rsidRPr="00DF7E84">
                <w:rPr>
                  <w:rFonts w:eastAsia="Calibri" w:cs="Calibri"/>
                  <w:b/>
                  <w:color w:val="0000FF"/>
                  <w:spacing w:val="1"/>
                  <w:position w:val="1"/>
                  <w:u w:val="single"/>
                </w:rPr>
                <w:t>C</w:t>
              </w:r>
              <w:r w:rsidRPr="00DF7E84">
                <w:rPr>
                  <w:rFonts w:eastAsia="Calibri" w:cs="Calibri"/>
                  <w:b/>
                  <w:color w:val="0000FF"/>
                  <w:spacing w:val="-2"/>
                  <w:position w:val="1"/>
                  <w:u w:val="single"/>
                </w:rPr>
                <w:t>1</w:t>
              </w:r>
              <w:r w:rsidRPr="00DF7E84">
                <w:rPr>
                  <w:rFonts w:eastAsia="Calibri" w:cs="Calibri"/>
                  <w:b/>
                  <w:color w:val="0000FF"/>
                  <w:spacing w:val="1"/>
                  <w:position w:val="1"/>
                  <w:u w:val="single"/>
                </w:rPr>
                <w:t>2</w:t>
              </w:r>
              <w:r w:rsidRPr="00DF7E84">
                <w:rPr>
                  <w:rFonts w:eastAsia="Calibri" w:cs="Calibri"/>
                  <w:b/>
                  <w:color w:val="0000FF"/>
                  <w:spacing w:val="-1"/>
                  <w:position w:val="1"/>
                  <w:u w:val="single"/>
                </w:rPr>
                <w:t>/</w:t>
              </w:r>
              <w:r w:rsidRPr="00DF7E84">
                <w:rPr>
                  <w:rFonts w:eastAsia="Calibri" w:cs="Calibri"/>
                  <w:b/>
                  <w:color w:val="0000FF"/>
                  <w:spacing w:val="1"/>
                  <w:position w:val="1"/>
                  <w:u w:val="single"/>
                </w:rPr>
                <w:t>1</w:t>
              </w:r>
              <w:r w:rsidRPr="00DF7E84">
                <w:rPr>
                  <w:rFonts w:eastAsia="Calibri" w:cs="Calibri"/>
                  <w:b/>
                  <w:color w:val="0000FF"/>
                  <w:spacing w:val="-2"/>
                  <w:position w:val="1"/>
                  <w:u w:val="single"/>
                </w:rPr>
                <w:t>3</w:t>
              </w:r>
              <w:r w:rsidRPr="00DF7E84">
                <w:rPr>
                  <w:rFonts w:eastAsia="Calibri" w:cs="Calibri"/>
                  <w:b/>
                  <w:color w:val="0000FF"/>
                  <w:spacing w:val="1"/>
                  <w:position w:val="1"/>
                  <w:u w:val="single"/>
                </w:rPr>
                <w:t>.</w:t>
              </w:r>
              <w:r w:rsidRPr="00DF7E84">
                <w:rPr>
                  <w:rFonts w:eastAsia="Calibri" w:cs="Calibri"/>
                  <w:b/>
                  <w:color w:val="0000FF"/>
                  <w:spacing w:val="-2"/>
                  <w:position w:val="1"/>
                  <w:u w:val="single"/>
                </w:rPr>
                <w:t>8</w:t>
              </w:r>
              <w:r w:rsidRPr="00DF7E84">
                <w:rPr>
                  <w:rFonts w:eastAsia="Calibri" w:cs="Calibri"/>
                  <w:b/>
                  <w:color w:val="0000FF"/>
                  <w:spacing w:val="1"/>
                  <w:position w:val="1"/>
                  <w:u w:val="single"/>
                </w:rPr>
                <w:t>.</w:t>
              </w:r>
              <w:r w:rsidRPr="00DF7E84">
                <w:rPr>
                  <w:rFonts w:eastAsia="Calibri" w:cs="Calibri"/>
                  <w:b/>
                  <w:color w:val="0000FF"/>
                  <w:position w:val="1"/>
                  <w:u w:val="single"/>
                </w:rPr>
                <w:t>6</w:t>
              </w:r>
            </w:hyperlink>
          </w:p>
        </w:tc>
      </w:tr>
      <w:tr w:rsidR="003663D1" w:rsidTr="003663D1">
        <w:tc>
          <w:tcPr>
            <w:tcW w:w="9350" w:type="dxa"/>
          </w:tcPr>
          <w:p w:rsidR="003663D1" w:rsidRDefault="003663D1" w:rsidP="003663D1">
            <w:pPr>
              <w:pStyle w:val="NoSpacing"/>
              <w:jc w:val="center"/>
            </w:pPr>
            <w:r>
              <w:t>Effective Date: 16 March 2013</w:t>
            </w:r>
          </w:p>
        </w:tc>
      </w:tr>
      <w:tr w:rsidR="003663D1" w:rsidTr="003663D1">
        <w:tc>
          <w:tcPr>
            <w:tcW w:w="9350" w:type="dxa"/>
          </w:tcPr>
          <w:p w:rsidR="003663D1" w:rsidRDefault="003663D1" w:rsidP="003663D1">
            <w:pPr>
              <w:pStyle w:val="NoSpacing"/>
              <w:jc w:val="center"/>
            </w:pPr>
            <w:r>
              <w:t>Expiry Date: in perpetuity</w:t>
            </w:r>
          </w:p>
        </w:tc>
      </w:tr>
    </w:tbl>
    <w:p w:rsidR="003663D1" w:rsidRDefault="003663D1" w:rsidP="000D2F8B">
      <w:pPr>
        <w:pStyle w:val="NoSpacing"/>
      </w:pPr>
    </w:p>
    <w:p w:rsidR="003663D1" w:rsidRDefault="003663D1" w:rsidP="000D2F8B">
      <w:pPr>
        <w:pStyle w:val="NoSpacing"/>
      </w:pPr>
      <w:r>
        <w:rPr>
          <w:b/>
        </w:rPr>
        <w:t>Be it resolved</w:t>
      </w:r>
      <w:r>
        <w:t>, the USC adopt the following budgetary practices:</w:t>
      </w:r>
    </w:p>
    <w:p w:rsidR="003663D1" w:rsidRDefault="003663D1" w:rsidP="003663D1">
      <w:pPr>
        <w:pStyle w:val="NoSpacing"/>
        <w:numPr>
          <w:ilvl w:val="0"/>
          <w:numId w:val="7"/>
        </w:numPr>
      </w:pPr>
      <w:r>
        <w:t>Any increase beyond inflation in the USC Base Fee and Admin Fee must be directly tied to the provision of a specific service.</w:t>
      </w:r>
    </w:p>
    <w:p w:rsidR="003663D1" w:rsidRDefault="003663D1" w:rsidP="003663D1">
      <w:pPr>
        <w:pStyle w:val="NoSpacing"/>
        <w:numPr>
          <w:ilvl w:val="0"/>
          <w:numId w:val="7"/>
        </w:numPr>
      </w:pPr>
      <w:r>
        <w:t>Any budgets will feature a true costing of the PVP lines to accurately reflect their costs to the organization.</w:t>
      </w:r>
    </w:p>
    <w:p w:rsidR="003663D1" w:rsidRDefault="003663D1" w:rsidP="003663D1">
      <w:pPr>
        <w:pStyle w:val="NoSpacing"/>
        <w:numPr>
          <w:ilvl w:val="0"/>
          <w:numId w:val="7"/>
        </w:numPr>
      </w:pPr>
      <w:r>
        <w:t>The USC will adopt a 4 year cycle that is tied to the USC’s strategic planning process.</w:t>
      </w:r>
    </w:p>
    <w:p w:rsidR="003663D1" w:rsidRDefault="003663D1" w:rsidP="003663D1">
      <w:pPr>
        <w:pStyle w:val="NoSpacing"/>
      </w:pPr>
    </w:p>
    <w:p w:rsidR="003663D1" w:rsidRDefault="003663D1" w:rsidP="003663D1">
      <w:pPr>
        <w:pStyle w:val="NoSpacing"/>
      </w:pPr>
      <w:r>
        <w:rPr>
          <w:b/>
        </w:rPr>
        <w:t>3. Partnership Agreements</w:t>
      </w:r>
    </w:p>
    <w:p w:rsidR="003663D1" w:rsidRDefault="003663D1" w:rsidP="003663D1">
      <w:pPr>
        <w:pStyle w:val="NoSpacing"/>
      </w:pPr>
    </w:p>
    <w:tbl>
      <w:tblPr>
        <w:tblStyle w:val="TableGrid"/>
        <w:tblW w:w="0" w:type="auto"/>
        <w:tblLook w:val="04A0" w:firstRow="1" w:lastRow="0" w:firstColumn="1" w:lastColumn="0" w:noHBand="0" w:noVBand="1"/>
      </w:tblPr>
      <w:tblGrid>
        <w:gridCol w:w="9350"/>
      </w:tblGrid>
      <w:tr w:rsidR="003663D1" w:rsidTr="003663D1">
        <w:tc>
          <w:tcPr>
            <w:tcW w:w="9350" w:type="dxa"/>
          </w:tcPr>
          <w:p w:rsidR="003663D1" w:rsidRDefault="00B75FB3" w:rsidP="003663D1">
            <w:pPr>
              <w:pStyle w:val="NoSpacing"/>
              <w:jc w:val="center"/>
            </w:pPr>
            <w:hyperlink r:id="rId9">
              <w:r w:rsidR="00DF7E84">
                <w:rPr>
                  <w:rFonts w:ascii="Calibri" w:eastAsia="Calibri" w:hAnsi="Calibri" w:cs="Calibri"/>
                  <w:b/>
                  <w:color w:val="0000FF"/>
                  <w:spacing w:val="1"/>
                  <w:position w:val="1"/>
                  <w:u w:val="single" w:color="0000FF"/>
                </w:rPr>
                <w:t>C</w:t>
              </w:r>
              <w:r w:rsidR="00DF7E84">
                <w:rPr>
                  <w:rFonts w:ascii="Calibri" w:eastAsia="Calibri" w:hAnsi="Calibri" w:cs="Calibri"/>
                  <w:b/>
                  <w:color w:val="0000FF"/>
                  <w:spacing w:val="-2"/>
                  <w:position w:val="1"/>
                  <w:u w:val="single" w:color="0000FF"/>
                </w:rPr>
                <w:t>1</w:t>
              </w:r>
              <w:r w:rsidR="00DF7E84">
                <w:rPr>
                  <w:rFonts w:ascii="Calibri" w:eastAsia="Calibri" w:hAnsi="Calibri" w:cs="Calibri"/>
                  <w:b/>
                  <w:color w:val="0000FF"/>
                  <w:spacing w:val="1"/>
                  <w:position w:val="1"/>
                  <w:u w:val="single" w:color="0000FF"/>
                </w:rPr>
                <w:t>1</w:t>
              </w:r>
              <w:r w:rsidR="00DF7E84">
                <w:rPr>
                  <w:rFonts w:ascii="Calibri" w:eastAsia="Calibri" w:hAnsi="Calibri" w:cs="Calibri"/>
                  <w:b/>
                  <w:color w:val="0000FF"/>
                  <w:spacing w:val="-1"/>
                  <w:position w:val="1"/>
                  <w:u w:val="single" w:color="0000FF"/>
                </w:rPr>
                <w:t>/</w:t>
              </w:r>
              <w:r w:rsidR="00DF7E84">
                <w:rPr>
                  <w:rFonts w:ascii="Calibri" w:eastAsia="Calibri" w:hAnsi="Calibri" w:cs="Calibri"/>
                  <w:b/>
                  <w:color w:val="0000FF"/>
                  <w:spacing w:val="1"/>
                  <w:position w:val="1"/>
                  <w:u w:val="single" w:color="0000FF"/>
                </w:rPr>
                <w:t>1</w:t>
              </w:r>
              <w:r w:rsidR="00DF7E84">
                <w:rPr>
                  <w:rFonts w:ascii="Calibri" w:eastAsia="Calibri" w:hAnsi="Calibri" w:cs="Calibri"/>
                  <w:b/>
                  <w:color w:val="0000FF"/>
                  <w:spacing w:val="-2"/>
                  <w:position w:val="1"/>
                  <w:u w:val="single" w:color="0000FF"/>
                </w:rPr>
                <w:t>2</w:t>
              </w:r>
              <w:r w:rsidR="00DF7E84">
                <w:rPr>
                  <w:rFonts w:ascii="Calibri" w:eastAsia="Calibri" w:hAnsi="Calibri" w:cs="Calibri"/>
                  <w:b/>
                  <w:color w:val="0000FF"/>
                  <w:spacing w:val="1"/>
                  <w:position w:val="1"/>
                  <w:u w:val="single" w:color="0000FF"/>
                </w:rPr>
                <w:t>.</w:t>
              </w:r>
              <w:r w:rsidR="00DF7E84">
                <w:rPr>
                  <w:rFonts w:ascii="Calibri" w:eastAsia="Calibri" w:hAnsi="Calibri" w:cs="Calibri"/>
                  <w:b/>
                  <w:color w:val="0000FF"/>
                  <w:spacing w:val="-2"/>
                  <w:position w:val="1"/>
                  <w:u w:val="single" w:color="0000FF"/>
                </w:rPr>
                <w:t>8</w:t>
              </w:r>
              <w:r w:rsidR="00DF7E84">
                <w:rPr>
                  <w:rFonts w:ascii="Calibri" w:eastAsia="Calibri" w:hAnsi="Calibri" w:cs="Calibri"/>
                  <w:b/>
                  <w:color w:val="0000FF"/>
                  <w:spacing w:val="1"/>
                  <w:position w:val="1"/>
                  <w:u w:val="single" w:color="0000FF"/>
                </w:rPr>
                <w:t>.</w:t>
              </w:r>
              <w:r w:rsidR="00DF7E84">
                <w:rPr>
                  <w:rFonts w:ascii="Calibri" w:eastAsia="Calibri" w:hAnsi="Calibri" w:cs="Calibri"/>
                  <w:b/>
                  <w:color w:val="0000FF"/>
                  <w:position w:val="1"/>
                  <w:u w:val="single" w:color="0000FF"/>
                </w:rPr>
                <w:t>6</w:t>
              </w:r>
            </w:hyperlink>
          </w:p>
        </w:tc>
      </w:tr>
      <w:tr w:rsidR="003663D1" w:rsidTr="003663D1">
        <w:tc>
          <w:tcPr>
            <w:tcW w:w="9350" w:type="dxa"/>
          </w:tcPr>
          <w:p w:rsidR="003663D1" w:rsidRDefault="003663D1" w:rsidP="003663D1">
            <w:pPr>
              <w:pStyle w:val="NoSpacing"/>
              <w:jc w:val="center"/>
            </w:pPr>
            <w:r>
              <w:t>Effective Date: 29 February 2012</w:t>
            </w:r>
          </w:p>
        </w:tc>
      </w:tr>
      <w:tr w:rsidR="003663D1" w:rsidTr="003663D1">
        <w:tc>
          <w:tcPr>
            <w:tcW w:w="9350" w:type="dxa"/>
          </w:tcPr>
          <w:p w:rsidR="003663D1" w:rsidRDefault="003663D1" w:rsidP="003663D1">
            <w:pPr>
              <w:pStyle w:val="NoSpacing"/>
              <w:jc w:val="center"/>
            </w:pPr>
            <w:r>
              <w:t>Expiry Date: in perpetuity</w:t>
            </w:r>
          </w:p>
        </w:tc>
      </w:tr>
    </w:tbl>
    <w:p w:rsidR="003663D1" w:rsidRDefault="003663D1" w:rsidP="003663D1">
      <w:pPr>
        <w:pStyle w:val="NoSpacing"/>
      </w:pPr>
    </w:p>
    <w:p w:rsidR="003663D1" w:rsidRDefault="003663D1" w:rsidP="003663D1">
      <w:pPr>
        <w:pStyle w:val="NoSpacing"/>
      </w:pPr>
      <w:r>
        <w:rPr>
          <w:b/>
        </w:rPr>
        <w:t xml:space="preserve">Be it resolved, </w:t>
      </w:r>
      <w:r>
        <w:t>the Vice-President be directed to write partnership agreements for all existing relationships with community partners.</w:t>
      </w:r>
      <w:r>
        <w:br/>
      </w:r>
    </w:p>
    <w:p w:rsidR="003663D1" w:rsidRDefault="003663D1" w:rsidP="003663D1">
      <w:pPr>
        <w:pStyle w:val="NoSpacing"/>
      </w:pPr>
      <w:r>
        <w:rPr>
          <w:b/>
        </w:rPr>
        <w:t>Be it further resolved</w:t>
      </w:r>
      <w:r>
        <w:t>, all future relationships established in the Vice-President portfolio begin by the drafting of a partnership agreement between the Vice-President on behalf of the USC with the external organization(s) involved.</w:t>
      </w:r>
    </w:p>
    <w:p w:rsidR="003663D1" w:rsidRDefault="003663D1" w:rsidP="003663D1">
      <w:pPr>
        <w:pStyle w:val="NoSpacing"/>
      </w:pPr>
    </w:p>
    <w:p w:rsidR="003663D1" w:rsidRDefault="003663D1" w:rsidP="003663D1">
      <w:pPr>
        <w:pStyle w:val="NoSpacing"/>
      </w:pPr>
      <w:r>
        <w:rPr>
          <w:b/>
        </w:rPr>
        <w:t>4. Awareness Training</w:t>
      </w:r>
    </w:p>
    <w:p w:rsidR="003663D1" w:rsidRDefault="003663D1" w:rsidP="003663D1">
      <w:pPr>
        <w:pStyle w:val="NoSpacing"/>
      </w:pPr>
    </w:p>
    <w:tbl>
      <w:tblPr>
        <w:tblStyle w:val="TableGrid"/>
        <w:tblW w:w="0" w:type="auto"/>
        <w:tblLook w:val="04A0" w:firstRow="1" w:lastRow="0" w:firstColumn="1" w:lastColumn="0" w:noHBand="0" w:noVBand="1"/>
      </w:tblPr>
      <w:tblGrid>
        <w:gridCol w:w="9350"/>
      </w:tblGrid>
      <w:tr w:rsidR="003663D1" w:rsidTr="003663D1">
        <w:tc>
          <w:tcPr>
            <w:tcW w:w="9350" w:type="dxa"/>
          </w:tcPr>
          <w:p w:rsidR="003663D1" w:rsidRDefault="00B75FB3" w:rsidP="003663D1">
            <w:pPr>
              <w:pStyle w:val="NoSpacing"/>
              <w:jc w:val="center"/>
            </w:pPr>
            <w:hyperlink r:id="rId10">
              <w:r w:rsidR="00DF7E84">
                <w:rPr>
                  <w:rFonts w:ascii="Calibri" w:eastAsia="Calibri" w:hAnsi="Calibri" w:cs="Calibri"/>
                  <w:b/>
                  <w:color w:val="0000FF"/>
                  <w:spacing w:val="1"/>
                  <w:position w:val="1"/>
                  <w:u w:val="single" w:color="0000FF"/>
                </w:rPr>
                <w:t>C</w:t>
              </w:r>
              <w:r w:rsidR="00DF7E84">
                <w:rPr>
                  <w:rFonts w:ascii="Calibri" w:eastAsia="Calibri" w:hAnsi="Calibri" w:cs="Calibri"/>
                  <w:b/>
                  <w:color w:val="0000FF"/>
                  <w:spacing w:val="-2"/>
                  <w:position w:val="1"/>
                  <w:u w:val="single" w:color="0000FF"/>
                </w:rPr>
                <w:t>1</w:t>
              </w:r>
              <w:r w:rsidR="00DF7E84">
                <w:rPr>
                  <w:rFonts w:ascii="Calibri" w:eastAsia="Calibri" w:hAnsi="Calibri" w:cs="Calibri"/>
                  <w:b/>
                  <w:color w:val="0000FF"/>
                  <w:spacing w:val="1"/>
                  <w:position w:val="1"/>
                  <w:u w:val="single" w:color="0000FF"/>
                </w:rPr>
                <w:t>1</w:t>
              </w:r>
              <w:r w:rsidR="00DF7E84">
                <w:rPr>
                  <w:rFonts w:ascii="Calibri" w:eastAsia="Calibri" w:hAnsi="Calibri" w:cs="Calibri"/>
                  <w:b/>
                  <w:color w:val="0000FF"/>
                  <w:spacing w:val="-1"/>
                  <w:position w:val="1"/>
                  <w:u w:val="single" w:color="0000FF"/>
                </w:rPr>
                <w:t>/</w:t>
              </w:r>
              <w:r w:rsidR="00DF7E84">
                <w:rPr>
                  <w:rFonts w:ascii="Calibri" w:eastAsia="Calibri" w:hAnsi="Calibri" w:cs="Calibri"/>
                  <w:b/>
                  <w:color w:val="0000FF"/>
                  <w:spacing w:val="1"/>
                  <w:position w:val="1"/>
                  <w:u w:val="single" w:color="0000FF"/>
                </w:rPr>
                <w:t>1</w:t>
              </w:r>
              <w:r w:rsidR="00DF7E84">
                <w:rPr>
                  <w:rFonts w:ascii="Calibri" w:eastAsia="Calibri" w:hAnsi="Calibri" w:cs="Calibri"/>
                  <w:b/>
                  <w:color w:val="0000FF"/>
                  <w:spacing w:val="-2"/>
                  <w:position w:val="1"/>
                  <w:u w:val="single" w:color="0000FF"/>
                </w:rPr>
                <w:t>2</w:t>
              </w:r>
              <w:r w:rsidR="00DF7E84">
                <w:rPr>
                  <w:rFonts w:ascii="Calibri" w:eastAsia="Calibri" w:hAnsi="Calibri" w:cs="Calibri"/>
                  <w:b/>
                  <w:color w:val="0000FF"/>
                  <w:spacing w:val="1"/>
                  <w:position w:val="1"/>
                  <w:u w:val="single" w:color="0000FF"/>
                </w:rPr>
                <w:t>.</w:t>
              </w:r>
              <w:r w:rsidR="00DF7E84">
                <w:rPr>
                  <w:rFonts w:ascii="Calibri" w:eastAsia="Calibri" w:hAnsi="Calibri" w:cs="Calibri"/>
                  <w:b/>
                  <w:color w:val="0000FF"/>
                  <w:spacing w:val="-2"/>
                  <w:position w:val="1"/>
                  <w:u w:val="single" w:color="0000FF"/>
                </w:rPr>
                <w:t>7</w:t>
              </w:r>
              <w:r w:rsidR="00DF7E84">
                <w:rPr>
                  <w:rFonts w:ascii="Calibri" w:eastAsia="Calibri" w:hAnsi="Calibri" w:cs="Calibri"/>
                  <w:b/>
                  <w:color w:val="0000FF"/>
                  <w:spacing w:val="1"/>
                  <w:position w:val="1"/>
                  <w:u w:val="single" w:color="0000FF"/>
                </w:rPr>
                <w:t>.</w:t>
              </w:r>
              <w:r w:rsidR="00DF7E84">
                <w:rPr>
                  <w:rFonts w:ascii="Calibri" w:eastAsia="Calibri" w:hAnsi="Calibri" w:cs="Calibri"/>
                  <w:b/>
                  <w:color w:val="0000FF"/>
                  <w:position w:val="1"/>
                  <w:u w:val="single" w:color="0000FF"/>
                </w:rPr>
                <w:t>1</w:t>
              </w:r>
            </w:hyperlink>
          </w:p>
        </w:tc>
      </w:tr>
      <w:tr w:rsidR="003663D1" w:rsidTr="003663D1">
        <w:tc>
          <w:tcPr>
            <w:tcW w:w="9350" w:type="dxa"/>
          </w:tcPr>
          <w:p w:rsidR="003663D1" w:rsidRDefault="003663D1" w:rsidP="003663D1">
            <w:pPr>
              <w:pStyle w:val="NoSpacing"/>
              <w:jc w:val="center"/>
            </w:pPr>
            <w:r>
              <w:t>Effective Date: 25 January 2012</w:t>
            </w:r>
          </w:p>
        </w:tc>
      </w:tr>
      <w:tr w:rsidR="003663D1" w:rsidTr="003663D1">
        <w:tc>
          <w:tcPr>
            <w:tcW w:w="9350" w:type="dxa"/>
          </w:tcPr>
          <w:p w:rsidR="003663D1" w:rsidRDefault="003663D1" w:rsidP="003663D1">
            <w:pPr>
              <w:pStyle w:val="NoSpacing"/>
              <w:jc w:val="center"/>
            </w:pPr>
            <w:r>
              <w:t>Expiry Date: in perpetuity</w:t>
            </w:r>
          </w:p>
        </w:tc>
      </w:tr>
    </w:tbl>
    <w:p w:rsidR="003663D1" w:rsidRDefault="003663D1" w:rsidP="003663D1">
      <w:pPr>
        <w:pStyle w:val="NoSpacing"/>
      </w:pPr>
    </w:p>
    <w:p w:rsidR="003663D1" w:rsidRDefault="003663D1" w:rsidP="003663D1">
      <w:pPr>
        <w:pStyle w:val="NoSpacing"/>
      </w:pPr>
      <w:r>
        <w:rPr>
          <w:b/>
        </w:rPr>
        <w:t xml:space="preserve">Be it resolved, </w:t>
      </w:r>
      <w:r>
        <w:t>the USC will offer Ally and I Know Someone (or a similar awareness education program) training workshop to the members of the Council.</w:t>
      </w:r>
    </w:p>
    <w:p w:rsidR="003663D1" w:rsidRDefault="003663D1" w:rsidP="003663D1">
      <w:pPr>
        <w:pStyle w:val="NoSpacing"/>
      </w:pPr>
    </w:p>
    <w:p w:rsidR="003663D1" w:rsidRDefault="003663D1" w:rsidP="003663D1">
      <w:pPr>
        <w:pStyle w:val="NoSpacing"/>
      </w:pPr>
      <w:r>
        <w:rPr>
          <w:b/>
        </w:rPr>
        <w:t xml:space="preserve">Be it further resolved, </w:t>
      </w:r>
      <w:r>
        <w:t>the USC will offer the training workshop at least once per Council term.</w:t>
      </w:r>
    </w:p>
    <w:p w:rsidR="003663D1" w:rsidRDefault="003663D1" w:rsidP="003663D1">
      <w:pPr>
        <w:pStyle w:val="NoSpacing"/>
      </w:pPr>
    </w:p>
    <w:p w:rsidR="003663D1" w:rsidRDefault="003663D1" w:rsidP="003663D1">
      <w:pPr>
        <w:pStyle w:val="NoSpacing"/>
      </w:pPr>
      <w:r>
        <w:rPr>
          <w:b/>
        </w:rPr>
        <w:t>5. Fee Increase By Inflation</w:t>
      </w:r>
    </w:p>
    <w:p w:rsidR="00DF7E84" w:rsidRDefault="00DF7E84" w:rsidP="003663D1">
      <w:pPr>
        <w:pStyle w:val="NoSpacing"/>
      </w:pPr>
    </w:p>
    <w:tbl>
      <w:tblPr>
        <w:tblStyle w:val="TableGrid"/>
        <w:tblW w:w="0" w:type="auto"/>
        <w:tblLook w:val="04A0" w:firstRow="1" w:lastRow="0" w:firstColumn="1" w:lastColumn="0" w:noHBand="0" w:noVBand="1"/>
      </w:tblPr>
      <w:tblGrid>
        <w:gridCol w:w="9350"/>
      </w:tblGrid>
      <w:tr w:rsidR="00DF7E84" w:rsidTr="00DF7E84">
        <w:tc>
          <w:tcPr>
            <w:tcW w:w="9350" w:type="dxa"/>
          </w:tcPr>
          <w:p w:rsidR="00DF7E84" w:rsidRDefault="00B75FB3" w:rsidP="00DF7E84">
            <w:pPr>
              <w:pStyle w:val="NoSpacing"/>
              <w:jc w:val="center"/>
            </w:pPr>
            <w:hyperlink r:id="rId11">
              <w:r w:rsidR="00DF7E84">
                <w:rPr>
                  <w:rFonts w:ascii="Calibri" w:eastAsia="Calibri" w:hAnsi="Calibri" w:cs="Calibri"/>
                  <w:b/>
                  <w:color w:val="0000FF"/>
                  <w:spacing w:val="1"/>
                  <w:position w:val="1"/>
                  <w:u w:val="single" w:color="0000FF"/>
                </w:rPr>
                <w:t>C</w:t>
              </w:r>
              <w:r w:rsidR="00DF7E84">
                <w:rPr>
                  <w:rFonts w:ascii="Calibri" w:eastAsia="Calibri" w:hAnsi="Calibri" w:cs="Calibri"/>
                  <w:b/>
                  <w:color w:val="0000FF"/>
                  <w:spacing w:val="-2"/>
                  <w:position w:val="1"/>
                  <w:u w:val="single" w:color="0000FF"/>
                </w:rPr>
                <w:t>1</w:t>
              </w:r>
              <w:r w:rsidR="00DF7E84">
                <w:rPr>
                  <w:rFonts w:ascii="Calibri" w:eastAsia="Calibri" w:hAnsi="Calibri" w:cs="Calibri"/>
                  <w:b/>
                  <w:color w:val="0000FF"/>
                  <w:spacing w:val="1"/>
                  <w:position w:val="1"/>
                  <w:u w:val="single" w:color="0000FF"/>
                </w:rPr>
                <w:t>1</w:t>
              </w:r>
              <w:r w:rsidR="00DF7E84">
                <w:rPr>
                  <w:rFonts w:ascii="Calibri" w:eastAsia="Calibri" w:hAnsi="Calibri" w:cs="Calibri"/>
                  <w:b/>
                  <w:color w:val="0000FF"/>
                  <w:spacing w:val="-1"/>
                  <w:position w:val="1"/>
                  <w:u w:val="single" w:color="0000FF"/>
                </w:rPr>
                <w:t>/</w:t>
              </w:r>
              <w:r w:rsidR="00DF7E84">
                <w:rPr>
                  <w:rFonts w:ascii="Calibri" w:eastAsia="Calibri" w:hAnsi="Calibri" w:cs="Calibri"/>
                  <w:b/>
                  <w:color w:val="0000FF"/>
                  <w:spacing w:val="1"/>
                  <w:position w:val="1"/>
                  <w:u w:val="single" w:color="0000FF"/>
                </w:rPr>
                <w:t>1</w:t>
              </w:r>
              <w:r w:rsidR="00DF7E84">
                <w:rPr>
                  <w:rFonts w:ascii="Calibri" w:eastAsia="Calibri" w:hAnsi="Calibri" w:cs="Calibri"/>
                  <w:b/>
                  <w:color w:val="0000FF"/>
                  <w:spacing w:val="-2"/>
                  <w:position w:val="1"/>
                  <w:u w:val="single" w:color="0000FF"/>
                </w:rPr>
                <w:t>2</w:t>
              </w:r>
              <w:r w:rsidR="00DF7E84">
                <w:rPr>
                  <w:rFonts w:ascii="Calibri" w:eastAsia="Calibri" w:hAnsi="Calibri" w:cs="Calibri"/>
                  <w:b/>
                  <w:color w:val="0000FF"/>
                  <w:spacing w:val="1"/>
                  <w:position w:val="1"/>
                  <w:u w:val="single" w:color="0000FF"/>
                </w:rPr>
                <w:t>.</w:t>
              </w:r>
              <w:r w:rsidR="00DF7E84">
                <w:rPr>
                  <w:rFonts w:ascii="Calibri" w:eastAsia="Calibri" w:hAnsi="Calibri" w:cs="Calibri"/>
                  <w:b/>
                  <w:color w:val="0000FF"/>
                  <w:spacing w:val="-2"/>
                  <w:position w:val="1"/>
                  <w:u w:val="single" w:color="0000FF"/>
                </w:rPr>
                <w:t>1</w:t>
              </w:r>
              <w:r w:rsidR="00DF7E84">
                <w:rPr>
                  <w:rFonts w:ascii="Calibri" w:eastAsia="Calibri" w:hAnsi="Calibri" w:cs="Calibri"/>
                  <w:b/>
                  <w:color w:val="0000FF"/>
                  <w:spacing w:val="1"/>
                  <w:position w:val="1"/>
                  <w:u w:val="single" w:color="0000FF"/>
                </w:rPr>
                <w:t>.</w:t>
              </w:r>
              <w:r w:rsidR="00DF7E84">
                <w:rPr>
                  <w:rFonts w:ascii="Calibri" w:eastAsia="Calibri" w:hAnsi="Calibri" w:cs="Calibri"/>
                  <w:b/>
                  <w:color w:val="0000FF"/>
                  <w:position w:val="1"/>
                  <w:u w:val="single" w:color="0000FF"/>
                </w:rPr>
                <w:t>5</w:t>
              </w:r>
            </w:hyperlink>
          </w:p>
        </w:tc>
      </w:tr>
      <w:tr w:rsidR="00DF7E84" w:rsidTr="00DF7E84">
        <w:tc>
          <w:tcPr>
            <w:tcW w:w="9350" w:type="dxa"/>
          </w:tcPr>
          <w:p w:rsidR="00DF7E84" w:rsidRDefault="00DF7E84" w:rsidP="00DF7E84">
            <w:pPr>
              <w:pStyle w:val="NoSpacing"/>
              <w:jc w:val="center"/>
            </w:pPr>
            <w:r>
              <w:t>Effective Date: 30 March 2011</w:t>
            </w:r>
          </w:p>
        </w:tc>
      </w:tr>
      <w:tr w:rsidR="00DF7E84" w:rsidTr="00DF7E84">
        <w:tc>
          <w:tcPr>
            <w:tcW w:w="9350" w:type="dxa"/>
          </w:tcPr>
          <w:p w:rsidR="00DF7E84" w:rsidRDefault="00DF7E84" w:rsidP="00DF7E84">
            <w:pPr>
              <w:pStyle w:val="NoSpacing"/>
              <w:jc w:val="center"/>
            </w:pPr>
            <w:r>
              <w:t>Expiry Date: in perpetuity</w:t>
            </w:r>
          </w:p>
        </w:tc>
      </w:tr>
    </w:tbl>
    <w:p w:rsidR="00DF7E84" w:rsidRDefault="00DF7E84" w:rsidP="003663D1">
      <w:pPr>
        <w:pStyle w:val="NoSpacing"/>
      </w:pPr>
    </w:p>
    <w:p w:rsidR="00DF7E84" w:rsidRDefault="00DF7E84" w:rsidP="003663D1">
      <w:pPr>
        <w:pStyle w:val="NoSpacing"/>
      </w:pPr>
      <w:r>
        <w:rPr>
          <w:b/>
        </w:rPr>
        <w:t xml:space="preserve">Be it resolved, </w:t>
      </w:r>
      <w:r>
        <w:t>in the creation of the USC’s Annual Budget the USC Secretary-Treasurer uphold the policy of the organization to automatically increase all USC non-tuition student organization fees by the rate of inflation noted on the fee schedule.</w:t>
      </w:r>
    </w:p>
    <w:p w:rsidR="00DF7E84" w:rsidRDefault="00DF7E84" w:rsidP="003663D1">
      <w:pPr>
        <w:pStyle w:val="NoSpacing"/>
      </w:pPr>
    </w:p>
    <w:p w:rsidR="00DF7E84" w:rsidRDefault="00DF7E84" w:rsidP="003663D1">
      <w:pPr>
        <w:pStyle w:val="NoSpacing"/>
      </w:pPr>
      <w:r>
        <w:rPr>
          <w:b/>
        </w:rPr>
        <w:t xml:space="preserve">Be it further resolved, </w:t>
      </w:r>
      <w:r>
        <w:t>the Secretary-Treasurer make recommendations, in the form of a revised fee schedule, to the budget sub-committee of Council as to which fees should not be increased by inflation and which fees should be increased greater than inflation with appropriate rationale.</w:t>
      </w:r>
    </w:p>
    <w:p w:rsidR="00DF7E84" w:rsidRDefault="00DF7E84" w:rsidP="003663D1">
      <w:pPr>
        <w:pStyle w:val="NoSpacing"/>
      </w:pPr>
    </w:p>
    <w:p w:rsidR="00DF7E84" w:rsidRDefault="00DF7E84" w:rsidP="003663D1">
      <w:pPr>
        <w:pStyle w:val="NoSpacing"/>
      </w:pPr>
      <w:r>
        <w:rPr>
          <w:b/>
        </w:rPr>
        <w:t>6. Quarterly Budget Revision</w:t>
      </w:r>
    </w:p>
    <w:p w:rsidR="00DF7E84" w:rsidRDefault="00DF7E84" w:rsidP="003663D1">
      <w:pPr>
        <w:pStyle w:val="NoSpacing"/>
      </w:pPr>
    </w:p>
    <w:tbl>
      <w:tblPr>
        <w:tblStyle w:val="TableGrid"/>
        <w:tblW w:w="0" w:type="auto"/>
        <w:tblLook w:val="04A0" w:firstRow="1" w:lastRow="0" w:firstColumn="1" w:lastColumn="0" w:noHBand="0" w:noVBand="1"/>
      </w:tblPr>
      <w:tblGrid>
        <w:gridCol w:w="9350"/>
      </w:tblGrid>
      <w:tr w:rsidR="00DF7E84" w:rsidTr="00DF7E84">
        <w:tc>
          <w:tcPr>
            <w:tcW w:w="9350" w:type="dxa"/>
          </w:tcPr>
          <w:p w:rsidR="00DF7E84" w:rsidRDefault="00B75FB3" w:rsidP="00DF7E84">
            <w:pPr>
              <w:pStyle w:val="NoSpacing"/>
              <w:jc w:val="center"/>
            </w:pPr>
            <w:hyperlink r:id="rId12">
              <w:r w:rsidR="00DF7E84">
                <w:rPr>
                  <w:rFonts w:ascii="Calibri" w:eastAsia="Calibri" w:hAnsi="Calibri" w:cs="Calibri"/>
                  <w:b/>
                  <w:color w:val="0000FF"/>
                  <w:spacing w:val="1"/>
                  <w:position w:val="1"/>
                  <w:u w:val="single" w:color="0000FF"/>
                </w:rPr>
                <w:t>C</w:t>
              </w:r>
              <w:r w:rsidR="00DF7E84">
                <w:rPr>
                  <w:rFonts w:ascii="Calibri" w:eastAsia="Calibri" w:hAnsi="Calibri" w:cs="Calibri"/>
                  <w:b/>
                  <w:color w:val="0000FF"/>
                  <w:spacing w:val="-2"/>
                  <w:position w:val="1"/>
                  <w:u w:val="single" w:color="0000FF"/>
                </w:rPr>
                <w:t>1</w:t>
              </w:r>
              <w:r w:rsidR="00DF7E84">
                <w:rPr>
                  <w:rFonts w:ascii="Calibri" w:eastAsia="Calibri" w:hAnsi="Calibri" w:cs="Calibri"/>
                  <w:b/>
                  <w:color w:val="0000FF"/>
                  <w:spacing w:val="1"/>
                  <w:position w:val="1"/>
                  <w:u w:val="single" w:color="0000FF"/>
                </w:rPr>
                <w:t>0</w:t>
              </w:r>
              <w:r w:rsidR="00DF7E84">
                <w:rPr>
                  <w:rFonts w:ascii="Calibri" w:eastAsia="Calibri" w:hAnsi="Calibri" w:cs="Calibri"/>
                  <w:b/>
                  <w:color w:val="0000FF"/>
                  <w:spacing w:val="-1"/>
                  <w:position w:val="1"/>
                  <w:u w:val="single" w:color="0000FF"/>
                </w:rPr>
                <w:t>/</w:t>
              </w:r>
              <w:r w:rsidR="00DF7E84">
                <w:rPr>
                  <w:rFonts w:ascii="Calibri" w:eastAsia="Calibri" w:hAnsi="Calibri" w:cs="Calibri"/>
                  <w:b/>
                  <w:color w:val="0000FF"/>
                  <w:spacing w:val="1"/>
                  <w:position w:val="1"/>
                  <w:u w:val="single" w:color="0000FF"/>
                </w:rPr>
                <w:t>1</w:t>
              </w:r>
              <w:r w:rsidR="00DF7E84">
                <w:rPr>
                  <w:rFonts w:ascii="Calibri" w:eastAsia="Calibri" w:hAnsi="Calibri" w:cs="Calibri"/>
                  <w:b/>
                  <w:color w:val="0000FF"/>
                  <w:spacing w:val="-2"/>
                  <w:position w:val="1"/>
                  <w:u w:val="single" w:color="0000FF"/>
                </w:rPr>
                <w:t>1</w:t>
              </w:r>
              <w:r w:rsidR="00DF7E84">
                <w:rPr>
                  <w:rFonts w:ascii="Calibri" w:eastAsia="Calibri" w:hAnsi="Calibri" w:cs="Calibri"/>
                  <w:b/>
                  <w:color w:val="0000FF"/>
                  <w:spacing w:val="1"/>
                  <w:position w:val="1"/>
                  <w:u w:val="single" w:color="0000FF"/>
                </w:rPr>
                <w:t>.</w:t>
              </w:r>
              <w:r w:rsidR="00DF7E84">
                <w:rPr>
                  <w:rFonts w:ascii="Calibri" w:eastAsia="Calibri" w:hAnsi="Calibri" w:cs="Calibri"/>
                  <w:b/>
                  <w:color w:val="0000FF"/>
                  <w:spacing w:val="-2"/>
                  <w:position w:val="1"/>
                  <w:u w:val="single" w:color="0000FF"/>
                </w:rPr>
                <w:t>8</w:t>
              </w:r>
              <w:r w:rsidR="00DF7E84">
                <w:rPr>
                  <w:rFonts w:ascii="Calibri" w:eastAsia="Calibri" w:hAnsi="Calibri" w:cs="Calibri"/>
                  <w:b/>
                  <w:color w:val="0000FF"/>
                  <w:spacing w:val="1"/>
                  <w:position w:val="1"/>
                  <w:u w:val="single" w:color="0000FF"/>
                </w:rPr>
                <w:t>.</w:t>
              </w:r>
              <w:r w:rsidR="00DF7E84">
                <w:rPr>
                  <w:rFonts w:ascii="Calibri" w:eastAsia="Calibri" w:hAnsi="Calibri" w:cs="Calibri"/>
                  <w:b/>
                  <w:color w:val="0000FF"/>
                  <w:position w:val="1"/>
                  <w:u w:val="single" w:color="0000FF"/>
                </w:rPr>
                <w:t>5</w:t>
              </w:r>
            </w:hyperlink>
          </w:p>
        </w:tc>
      </w:tr>
      <w:tr w:rsidR="00DF7E84" w:rsidTr="00DF7E84">
        <w:tc>
          <w:tcPr>
            <w:tcW w:w="9350" w:type="dxa"/>
          </w:tcPr>
          <w:p w:rsidR="00DF7E84" w:rsidRDefault="00DF7E84" w:rsidP="00DF7E84">
            <w:pPr>
              <w:pStyle w:val="NoSpacing"/>
              <w:jc w:val="center"/>
            </w:pPr>
            <w:r>
              <w:t>Effective Date: 12 January 2011</w:t>
            </w:r>
          </w:p>
        </w:tc>
      </w:tr>
      <w:tr w:rsidR="00DF7E84" w:rsidTr="00DF7E84">
        <w:tc>
          <w:tcPr>
            <w:tcW w:w="9350" w:type="dxa"/>
          </w:tcPr>
          <w:p w:rsidR="00DF7E84" w:rsidRDefault="00DF7E84" w:rsidP="00DF7E84">
            <w:pPr>
              <w:pStyle w:val="NoSpacing"/>
              <w:jc w:val="center"/>
            </w:pPr>
            <w:r>
              <w:t>Expiry Date: in perpetuity</w:t>
            </w:r>
          </w:p>
        </w:tc>
      </w:tr>
    </w:tbl>
    <w:p w:rsidR="00DF7E84" w:rsidRPr="00DF7E84" w:rsidRDefault="00DF7E84" w:rsidP="003663D1">
      <w:pPr>
        <w:pStyle w:val="NoSpacing"/>
      </w:pPr>
    </w:p>
    <w:p w:rsidR="003663D1" w:rsidRDefault="00DF7E84" w:rsidP="000D2F8B">
      <w:pPr>
        <w:pStyle w:val="NoSpacing"/>
      </w:pPr>
      <w:r>
        <w:rPr>
          <w:b/>
        </w:rPr>
        <w:t>Be it resolved</w:t>
      </w:r>
      <w:r>
        <w:t>, the Secretary-Treasurer present an amended budget to the University Students’ Council following the first fiscal quarter (Q1) of each year. The amended budget will show revised line allocations, but cannot and will not change the amount of student fees levied on students.</w:t>
      </w:r>
    </w:p>
    <w:p w:rsidR="00DF7E84" w:rsidRDefault="00DF7E84" w:rsidP="000D2F8B">
      <w:pPr>
        <w:pStyle w:val="NoSpacing"/>
      </w:pPr>
    </w:p>
    <w:p w:rsidR="00DF7E84" w:rsidRDefault="00DF7E84" w:rsidP="000D2F8B">
      <w:pPr>
        <w:pStyle w:val="NoSpacing"/>
      </w:pPr>
      <w:r>
        <w:rPr>
          <w:b/>
        </w:rPr>
        <w:t>Be it further resolved</w:t>
      </w:r>
      <w:r>
        <w:t>, amendments to the budget are first presented to the according standing committee of Council. Once approved, the amended budget would go to Council for final approval.</w:t>
      </w:r>
    </w:p>
    <w:p w:rsidR="00DF7E84" w:rsidRDefault="00DF7E84" w:rsidP="000D2F8B">
      <w:pPr>
        <w:pStyle w:val="NoSpacing"/>
      </w:pPr>
    </w:p>
    <w:p w:rsidR="00DF7E84" w:rsidRDefault="00DF7E84" w:rsidP="000D2F8B">
      <w:pPr>
        <w:pStyle w:val="NoSpacing"/>
      </w:pPr>
      <w:r>
        <w:rPr>
          <w:b/>
        </w:rPr>
        <w:t xml:space="preserve">Be it further resolved, </w:t>
      </w:r>
      <w:r>
        <w:t>amendments to the budget approved following Q1 replace estimates from the budget approved in March in an effort to better reflect updated and timelier expectations for USC operations and programs.</w:t>
      </w:r>
    </w:p>
    <w:p w:rsidR="00DF7E84" w:rsidRDefault="00DF7E84" w:rsidP="000D2F8B">
      <w:pPr>
        <w:pStyle w:val="NoSpacing"/>
      </w:pPr>
    </w:p>
    <w:p w:rsidR="00DF7E84" w:rsidRDefault="00DF7E84" w:rsidP="000D2F8B">
      <w:pPr>
        <w:pStyle w:val="NoSpacing"/>
      </w:pPr>
      <w:r>
        <w:rPr>
          <w:b/>
        </w:rPr>
        <w:t>7. Non-Profit Collection of Personal Information</w:t>
      </w:r>
    </w:p>
    <w:p w:rsidR="00DF7E84" w:rsidRDefault="00DF7E84" w:rsidP="000D2F8B">
      <w:pPr>
        <w:pStyle w:val="NoSpacing"/>
      </w:pPr>
    </w:p>
    <w:tbl>
      <w:tblPr>
        <w:tblStyle w:val="TableGrid"/>
        <w:tblW w:w="0" w:type="auto"/>
        <w:tblLook w:val="04A0" w:firstRow="1" w:lastRow="0" w:firstColumn="1" w:lastColumn="0" w:noHBand="0" w:noVBand="1"/>
      </w:tblPr>
      <w:tblGrid>
        <w:gridCol w:w="9350"/>
      </w:tblGrid>
      <w:tr w:rsidR="00DF7E84" w:rsidTr="00DF7E84">
        <w:tc>
          <w:tcPr>
            <w:tcW w:w="9350" w:type="dxa"/>
          </w:tcPr>
          <w:p w:rsidR="00DF7E84" w:rsidRDefault="00B75FB3" w:rsidP="00A05239">
            <w:pPr>
              <w:pStyle w:val="NoSpacing"/>
              <w:jc w:val="center"/>
            </w:pPr>
            <w:hyperlink r:id="rId13">
              <w:r w:rsidR="00A05239">
                <w:rPr>
                  <w:rFonts w:ascii="Calibri" w:eastAsia="Calibri" w:hAnsi="Calibri" w:cs="Calibri"/>
                  <w:b/>
                  <w:color w:val="0000FF"/>
                  <w:spacing w:val="1"/>
                  <w:position w:val="1"/>
                  <w:u w:val="single" w:color="0000FF"/>
                </w:rPr>
                <w:t>C</w:t>
              </w:r>
              <w:r w:rsidR="00A05239">
                <w:rPr>
                  <w:rFonts w:ascii="Calibri" w:eastAsia="Calibri" w:hAnsi="Calibri" w:cs="Calibri"/>
                  <w:b/>
                  <w:color w:val="0000FF"/>
                  <w:spacing w:val="-2"/>
                  <w:position w:val="1"/>
                  <w:u w:val="single" w:color="0000FF"/>
                </w:rPr>
                <w:t>1</w:t>
              </w:r>
              <w:r w:rsidR="00A05239">
                <w:rPr>
                  <w:rFonts w:ascii="Calibri" w:eastAsia="Calibri" w:hAnsi="Calibri" w:cs="Calibri"/>
                  <w:b/>
                  <w:color w:val="0000FF"/>
                  <w:spacing w:val="1"/>
                  <w:position w:val="1"/>
                  <w:u w:val="single" w:color="0000FF"/>
                </w:rPr>
                <w:t>0</w:t>
              </w:r>
              <w:r w:rsidR="00A05239">
                <w:rPr>
                  <w:rFonts w:ascii="Calibri" w:eastAsia="Calibri" w:hAnsi="Calibri" w:cs="Calibri"/>
                  <w:b/>
                  <w:color w:val="0000FF"/>
                  <w:spacing w:val="-1"/>
                  <w:position w:val="1"/>
                  <w:u w:val="single" w:color="0000FF"/>
                </w:rPr>
                <w:t>/</w:t>
              </w:r>
              <w:r w:rsidR="00A05239">
                <w:rPr>
                  <w:rFonts w:ascii="Calibri" w:eastAsia="Calibri" w:hAnsi="Calibri" w:cs="Calibri"/>
                  <w:b/>
                  <w:color w:val="0000FF"/>
                  <w:spacing w:val="1"/>
                  <w:position w:val="1"/>
                  <w:u w:val="single" w:color="0000FF"/>
                </w:rPr>
                <w:t>1</w:t>
              </w:r>
              <w:r w:rsidR="00A05239">
                <w:rPr>
                  <w:rFonts w:ascii="Calibri" w:eastAsia="Calibri" w:hAnsi="Calibri" w:cs="Calibri"/>
                  <w:b/>
                  <w:color w:val="0000FF"/>
                  <w:spacing w:val="-2"/>
                  <w:position w:val="1"/>
                  <w:u w:val="single" w:color="0000FF"/>
                </w:rPr>
                <w:t>1</w:t>
              </w:r>
              <w:r w:rsidR="00A05239">
                <w:rPr>
                  <w:rFonts w:ascii="Calibri" w:eastAsia="Calibri" w:hAnsi="Calibri" w:cs="Calibri"/>
                  <w:b/>
                  <w:color w:val="0000FF"/>
                  <w:spacing w:val="1"/>
                  <w:position w:val="1"/>
                  <w:u w:val="single" w:color="0000FF"/>
                </w:rPr>
                <w:t>.</w:t>
              </w:r>
              <w:r w:rsidR="00A05239">
                <w:rPr>
                  <w:rFonts w:ascii="Calibri" w:eastAsia="Calibri" w:hAnsi="Calibri" w:cs="Calibri"/>
                  <w:b/>
                  <w:color w:val="0000FF"/>
                  <w:spacing w:val="-2"/>
                  <w:position w:val="1"/>
                  <w:u w:val="single" w:color="0000FF"/>
                </w:rPr>
                <w:t>7</w:t>
              </w:r>
              <w:r w:rsidR="00A05239">
                <w:rPr>
                  <w:rFonts w:ascii="Calibri" w:eastAsia="Calibri" w:hAnsi="Calibri" w:cs="Calibri"/>
                  <w:b/>
                  <w:color w:val="0000FF"/>
                  <w:spacing w:val="1"/>
                  <w:position w:val="1"/>
                  <w:u w:val="single" w:color="0000FF"/>
                </w:rPr>
                <w:t>.</w:t>
              </w:r>
              <w:r w:rsidR="00A05239">
                <w:rPr>
                  <w:rFonts w:ascii="Calibri" w:eastAsia="Calibri" w:hAnsi="Calibri" w:cs="Calibri"/>
                  <w:b/>
                  <w:color w:val="0000FF"/>
                  <w:position w:val="1"/>
                  <w:u w:val="single" w:color="0000FF"/>
                </w:rPr>
                <w:t>8</w:t>
              </w:r>
            </w:hyperlink>
          </w:p>
        </w:tc>
      </w:tr>
      <w:tr w:rsidR="00DF7E84" w:rsidTr="00DF7E84">
        <w:tc>
          <w:tcPr>
            <w:tcW w:w="9350" w:type="dxa"/>
          </w:tcPr>
          <w:p w:rsidR="00DF7E84" w:rsidRDefault="00DF7E84" w:rsidP="00A05239">
            <w:pPr>
              <w:pStyle w:val="NoSpacing"/>
              <w:jc w:val="center"/>
            </w:pPr>
            <w:r>
              <w:t>Effective Date: 24 November 2010</w:t>
            </w:r>
          </w:p>
        </w:tc>
      </w:tr>
      <w:tr w:rsidR="00DF7E84" w:rsidTr="00DF7E84">
        <w:tc>
          <w:tcPr>
            <w:tcW w:w="9350" w:type="dxa"/>
          </w:tcPr>
          <w:p w:rsidR="00DF7E84" w:rsidRDefault="00DF7E84" w:rsidP="00A05239">
            <w:pPr>
              <w:pStyle w:val="NoSpacing"/>
              <w:jc w:val="center"/>
            </w:pPr>
            <w:r>
              <w:t>Expiry Date: in perpetuity</w:t>
            </w:r>
          </w:p>
        </w:tc>
      </w:tr>
    </w:tbl>
    <w:p w:rsidR="00DF7E84" w:rsidRPr="00DF7E84" w:rsidRDefault="00DF7E84" w:rsidP="000D2F8B">
      <w:pPr>
        <w:pStyle w:val="NoSpacing"/>
      </w:pPr>
    </w:p>
    <w:p w:rsidR="00DF7E84" w:rsidRDefault="000F77D8" w:rsidP="000D2F8B">
      <w:pPr>
        <w:pStyle w:val="NoSpacing"/>
      </w:pPr>
      <w:r>
        <w:rPr>
          <w:b/>
        </w:rPr>
        <w:t xml:space="preserve">Be it resolved, </w:t>
      </w:r>
      <w:r>
        <w:t>an approved USC-affiliated fundraiser may collect student information beyond name and email address if they meet the following requirements:</w:t>
      </w:r>
    </w:p>
    <w:p w:rsidR="000F77D8" w:rsidRDefault="000F77D8" w:rsidP="000F77D8">
      <w:pPr>
        <w:pStyle w:val="NoSpacing"/>
        <w:numPr>
          <w:ilvl w:val="0"/>
          <w:numId w:val="8"/>
        </w:numPr>
      </w:pPr>
      <w:r>
        <w:t>They are a registered non-profit under the Canada Revenue Agency Charity Listings.</w:t>
      </w:r>
    </w:p>
    <w:p w:rsidR="000F77D8" w:rsidRDefault="000F77D8" w:rsidP="000F77D8">
      <w:pPr>
        <w:pStyle w:val="NoSpacing"/>
        <w:numPr>
          <w:ilvl w:val="0"/>
          <w:numId w:val="8"/>
        </w:numPr>
      </w:pPr>
      <w:r>
        <w:t>They must provide written assurances that the collected information remains private and is not sold or distributed to another party.</w:t>
      </w:r>
    </w:p>
    <w:p w:rsidR="000F77D8" w:rsidRPr="000F77D8" w:rsidRDefault="000F77D8" w:rsidP="000F77D8">
      <w:pPr>
        <w:pStyle w:val="NoSpacing"/>
        <w:numPr>
          <w:ilvl w:val="0"/>
          <w:numId w:val="8"/>
        </w:numPr>
      </w:pPr>
      <w:r>
        <w:t>And, they must provide the ability to prevent any further contact from the organization outside the stated purpose for which they provide the initial information.</w:t>
      </w:r>
    </w:p>
    <w:p w:rsidR="00636A63" w:rsidRDefault="00636A63" w:rsidP="00636A63">
      <w:pPr>
        <w:pStyle w:val="NoSpacing"/>
      </w:pPr>
    </w:p>
    <w:p w:rsidR="00636A63" w:rsidRDefault="00636A63" w:rsidP="00636A63">
      <w:pPr>
        <w:pStyle w:val="NoSpacing"/>
        <w:rPr>
          <w:b/>
        </w:rPr>
      </w:pPr>
      <w:r>
        <w:rPr>
          <w:b/>
        </w:rPr>
        <w:t xml:space="preserve">8. Gazette Budget </w:t>
      </w:r>
    </w:p>
    <w:p w:rsidR="00636A63" w:rsidRPr="00636A63" w:rsidRDefault="00636A63" w:rsidP="00636A63">
      <w:pPr>
        <w:pStyle w:val="NoSpacing"/>
        <w:rPr>
          <w:b/>
        </w:rPr>
      </w:pPr>
    </w:p>
    <w:tbl>
      <w:tblPr>
        <w:tblStyle w:val="TableGrid"/>
        <w:tblW w:w="0" w:type="auto"/>
        <w:tblLook w:val="04A0" w:firstRow="1" w:lastRow="0" w:firstColumn="1" w:lastColumn="0" w:noHBand="0" w:noVBand="1"/>
      </w:tblPr>
      <w:tblGrid>
        <w:gridCol w:w="9350"/>
      </w:tblGrid>
      <w:tr w:rsidR="00636A63" w:rsidTr="00B83B51">
        <w:tc>
          <w:tcPr>
            <w:tcW w:w="9350" w:type="dxa"/>
          </w:tcPr>
          <w:p w:rsidR="00636A63" w:rsidRPr="00636A63" w:rsidRDefault="00636A63" w:rsidP="00636A63">
            <w:pPr>
              <w:pStyle w:val="NoSpacing"/>
              <w:jc w:val="center"/>
            </w:pPr>
            <w:r w:rsidRPr="00636A63">
              <w:rPr>
                <w:rFonts w:ascii="Calibri" w:eastAsia="Calibri" w:hAnsi="Calibri" w:cs="Calibri"/>
                <w:b/>
                <w:spacing w:val="1"/>
                <w:position w:val="1"/>
              </w:rPr>
              <w:t>C</w:t>
            </w:r>
            <w:r w:rsidRPr="00636A63">
              <w:rPr>
                <w:rFonts w:ascii="Calibri" w:eastAsia="Calibri" w:hAnsi="Calibri" w:cs="Calibri"/>
                <w:b/>
                <w:spacing w:val="1"/>
                <w:position w:val="1"/>
              </w:rPr>
              <w:t>16</w:t>
            </w:r>
            <w:r w:rsidRPr="00636A63">
              <w:rPr>
                <w:rFonts w:ascii="Calibri" w:eastAsia="Calibri" w:hAnsi="Calibri" w:cs="Calibri"/>
                <w:b/>
                <w:spacing w:val="-1"/>
                <w:position w:val="1"/>
              </w:rPr>
              <w:t>/</w:t>
            </w:r>
            <w:r>
              <w:rPr>
                <w:rFonts w:ascii="Calibri" w:eastAsia="Calibri" w:hAnsi="Calibri" w:cs="Calibri"/>
                <w:b/>
                <w:spacing w:val="1"/>
                <w:position w:val="1"/>
              </w:rPr>
              <w:t>10.3</w:t>
            </w:r>
          </w:p>
        </w:tc>
      </w:tr>
      <w:tr w:rsidR="00636A63" w:rsidTr="00B83B51">
        <w:tc>
          <w:tcPr>
            <w:tcW w:w="9350" w:type="dxa"/>
          </w:tcPr>
          <w:p w:rsidR="00636A63" w:rsidRDefault="00636A63" w:rsidP="00636A63">
            <w:pPr>
              <w:pStyle w:val="NoSpacing"/>
              <w:jc w:val="center"/>
            </w:pPr>
            <w:r>
              <w:t xml:space="preserve">Effective Date: </w:t>
            </w:r>
            <w:r>
              <w:t>1 April 2016</w:t>
            </w:r>
          </w:p>
        </w:tc>
      </w:tr>
      <w:tr w:rsidR="00636A63" w:rsidTr="00B83B51">
        <w:tc>
          <w:tcPr>
            <w:tcW w:w="9350" w:type="dxa"/>
          </w:tcPr>
          <w:p w:rsidR="00636A63" w:rsidRDefault="00636A63" w:rsidP="00B83B51">
            <w:pPr>
              <w:pStyle w:val="NoSpacing"/>
              <w:jc w:val="center"/>
            </w:pPr>
            <w:r>
              <w:t>Expiry Date: in perpetuity</w:t>
            </w:r>
          </w:p>
        </w:tc>
      </w:tr>
    </w:tbl>
    <w:p w:rsidR="00FD77BE" w:rsidRDefault="00FD77BE" w:rsidP="00102776">
      <w:pPr>
        <w:jc w:val="center"/>
      </w:pPr>
    </w:p>
    <w:p w:rsidR="00636A63" w:rsidRDefault="00636A63" w:rsidP="00636A63">
      <w:pPr>
        <w:rPr>
          <w:rFonts w:asciiTheme="minorHAnsi" w:hAnsiTheme="minorHAnsi"/>
          <w:sz w:val="22"/>
          <w:szCs w:val="22"/>
        </w:rPr>
      </w:pPr>
      <w:r>
        <w:rPr>
          <w:rFonts w:asciiTheme="minorHAnsi" w:hAnsiTheme="minorHAnsi"/>
          <w:b/>
          <w:sz w:val="22"/>
          <w:szCs w:val="22"/>
        </w:rPr>
        <w:t xml:space="preserve">Be it resolved, </w:t>
      </w:r>
      <w:r>
        <w:rPr>
          <w:rFonts w:asciiTheme="minorHAnsi" w:hAnsiTheme="minorHAnsi"/>
          <w:sz w:val="22"/>
          <w:szCs w:val="22"/>
        </w:rPr>
        <w:t>that a standing resolution of Council be created stipulating that:</w:t>
      </w:r>
    </w:p>
    <w:p w:rsidR="00636A63" w:rsidRDefault="00636A63" w:rsidP="00636A63">
      <w:pPr>
        <w:pStyle w:val="ListParagraph"/>
        <w:numPr>
          <w:ilvl w:val="0"/>
          <w:numId w:val="10"/>
        </w:numPr>
        <w:rPr>
          <w:rFonts w:asciiTheme="minorHAnsi" w:hAnsiTheme="minorHAnsi"/>
          <w:sz w:val="22"/>
          <w:szCs w:val="22"/>
        </w:rPr>
      </w:pPr>
      <w:r>
        <w:rPr>
          <w:rFonts w:asciiTheme="minorHAnsi" w:hAnsiTheme="minorHAnsi"/>
          <w:sz w:val="22"/>
          <w:szCs w:val="22"/>
        </w:rPr>
        <w:t>The detailed Gazette Annual Budget be included in every USC Annual Budget with line-by-line breakdowns of all money spent that year, and all projected to be spent in the following year.</w:t>
      </w:r>
    </w:p>
    <w:p w:rsidR="00636A63" w:rsidRPr="00636A63" w:rsidRDefault="00636A63" w:rsidP="00636A63">
      <w:pPr>
        <w:pStyle w:val="ListParagraph"/>
        <w:numPr>
          <w:ilvl w:val="0"/>
          <w:numId w:val="10"/>
        </w:numPr>
        <w:rPr>
          <w:rFonts w:asciiTheme="minorHAnsi" w:hAnsiTheme="minorHAnsi"/>
          <w:sz w:val="22"/>
          <w:szCs w:val="22"/>
        </w:rPr>
      </w:pPr>
      <w:r>
        <w:rPr>
          <w:rFonts w:asciiTheme="minorHAnsi" w:hAnsiTheme="minorHAnsi"/>
          <w:sz w:val="22"/>
          <w:szCs w:val="22"/>
        </w:rPr>
        <w:lastRenderedPageBreak/>
        <w:t>The Gazette provide a special budget presentation to Council each year (similar to the special budget presentation from CHRW), where Councilors have the opportunity to discuss and it ask questions to the Managing Editors.</w:t>
      </w:r>
      <w:r w:rsidRPr="00636A63">
        <w:rPr>
          <w:rFonts w:asciiTheme="minorHAnsi" w:hAnsiTheme="minorHAnsi"/>
          <w:sz w:val="22"/>
          <w:szCs w:val="22"/>
        </w:rPr>
        <w:br/>
      </w:r>
    </w:p>
    <w:p w:rsidR="00636A63" w:rsidRDefault="00636A63" w:rsidP="00636A63">
      <w:pPr>
        <w:pStyle w:val="NoSpacing"/>
        <w:rPr>
          <w:b/>
        </w:rPr>
      </w:pPr>
      <w:r>
        <w:rPr>
          <w:b/>
        </w:rPr>
        <w:t>9</w:t>
      </w:r>
      <w:r>
        <w:rPr>
          <w:b/>
        </w:rPr>
        <w:t>. Context and Enactment</w:t>
      </w:r>
    </w:p>
    <w:p w:rsidR="00636A63" w:rsidRDefault="00636A63" w:rsidP="00636A63">
      <w:pPr>
        <w:pStyle w:val="NoSpacing"/>
        <w:numPr>
          <w:ilvl w:val="0"/>
          <w:numId w:val="9"/>
        </w:numPr>
      </w:pPr>
      <w:r>
        <w:t>Documents Repealed – N/A</w:t>
      </w:r>
    </w:p>
    <w:p w:rsidR="00636A63" w:rsidRDefault="00636A63" w:rsidP="00636A63">
      <w:pPr>
        <w:pStyle w:val="NoSpacing"/>
        <w:numPr>
          <w:ilvl w:val="0"/>
          <w:numId w:val="9"/>
        </w:numPr>
      </w:pPr>
      <w:r>
        <w:t>Supporting/Related Documents – N/A</w:t>
      </w:r>
    </w:p>
    <w:p w:rsidR="00636A63" w:rsidRDefault="00636A63" w:rsidP="00636A63">
      <w:pPr>
        <w:pStyle w:val="NoSpacing"/>
        <w:numPr>
          <w:ilvl w:val="0"/>
          <w:numId w:val="9"/>
        </w:numPr>
      </w:pPr>
      <w:r>
        <w:t>Date Passed – 27 January 2016</w:t>
      </w:r>
    </w:p>
    <w:p w:rsidR="00636A63" w:rsidRDefault="00636A63" w:rsidP="00636A63">
      <w:pPr>
        <w:pStyle w:val="NoSpacing"/>
        <w:numPr>
          <w:ilvl w:val="0"/>
          <w:numId w:val="9"/>
        </w:numPr>
      </w:pPr>
      <w:r>
        <w:t xml:space="preserve">All Previous Amendments – </w:t>
      </w:r>
      <w:r>
        <w:t xml:space="preserve">2 March, 2016, </w:t>
      </w:r>
      <w:bookmarkStart w:id="0" w:name="_GoBack"/>
      <w:bookmarkEnd w:id="0"/>
      <w:r>
        <w:t>27 January 2016, 16 March 2013, 29 February 2012, 25 January 2012, 30 March 2011, 12 January 2011.</w:t>
      </w:r>
    </w:p>
    <w:p w:rsidR="00636A63" w:rsidRPr="00102776" w:rsidRDefault="00636A63" w:rsidP="00636A63"/>
    <w:sectPr w:rsidR="00636A63" w:rsidRPr="00102776">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FB3" w:rsidRDefault="00B75FB3" w:rsidP="000D2F8B">
      <w:r>
        <w:separator/>
      </w:r>
    </w:p>
  </w:endnote>
  <w:endnote w:type="continuationSeparator" w:id="0">
    <w:p w:rsidR="00B75FB3" w:rsidRDefault="00B75FB3" w:rsidP="000D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34422421"/>
      <w:docPartObj>
        <w:docPartGallery w:val="Page Numbers (Bottom of Page)"/>
        <w:docPartUnique/>
      </w:docPartObj>
    </w:sdtPr>
    <w:sdtEndPr/>
    <w:sdtContent>
      <w:sdt>
        <w:sdtPr>
          <w:rPr>
            <w:rFonts w:asciiTheme="minorHAnsi" w:hAnsiTheme="minorHAnsi"/>
          </w:rPr>
          <w:id w:val="1728636285"/>
          <w:docPartObj>
            <w:docPartGallery w:val="Page Numbers (Top of Page)"/>
            <w:docPartUnique/>
          </w:docPartObj>
        </w:sdtPr>
        <w:sdtEndPr/>
        <w:sdtContent>
          <w:p w:rsidR="000D2F8B" w:rsidRPr="00DF7E84" w:rsidRDefault="00DF7E84">
            <w:pPr>
              <w:pStyle w:val="Footer"/>
              <w:jc w:val="center"/>
              <w:rPr>
                <w:rFonts w:asciiTheme="minorHAnsi" w:hAnsiTheme="minorHAnsi"/>
              </w:rPr>
            </w:pPr>
            <w:r>
              <w:rPr>
                <w:rFonts w:asciiTheme="minorHAnsi" w:hAnsiTheme="minorHAnsi"/>
              </w:rPr>
              <w:t>Standing Resolutions of Council 2016</w:t>
            </w:r>
            <w:r w:rsidR="000D2F8B" w:rsidRPr="00DF7E84">
              <w:rPr>
                <w:rFonts w:asciiTheme="minorHAnsi" w:hAnsiTheme="minorHAnsi"/>
              </w:rPr>
              <w:t xml:space="preserve"> </w:t>
            </w:r>
            <w:r w:rsidR="000D2F8B" w:rsidRPr="00DF7E84">
              <w:rPr>
                <w:rFonts w:asciiTheme="minorHAnsi" w:hAnsiTheme="minorHAnsi"/>
              </w:rPr>
              <w:tab/>
            </w:r>
            <w:r w:rsidR="000D2F8B" w:rsidRPr="00DF7E84">
              <w:rPr>
                <w:rFonts w:asciiTheme="minorHAnsi" w:hAnsiTheme="minorHAnsi"/>
              </w:rPr>
              <w:tab/>
              <w:t xml:space="preserve">Page </w:t>
            </w:r>
            <w:r w:rsidR="000D2F8B" w:rsidRPr="00DF7E84">
              <w:rPr>
                <w:rFonts w:asciiTheme="minorHAnsi" w:hAnsiTheme="minorHAnsi"/>
                <w:bCs/>
                <w:sz w:val="24"/>
                <w:szCs w:val="24"/>
              </w:rPr>
              <w:fldChar w:fldCharType="begin"/>
            </w:r>
            <w:r w:rsidR="000D2F8B" w:rsidRPr="00DF7E84">
              <w:rPr>
                <w:rFonts w:asciiTheme="minorHAnsi" w:hAnsiTheme="minorHAnsi"/>
                <w:bCs/>
              </w:rPr>
              <w:instrText xml:space="preserve"> PAGE </w:instrText>
            </w:r>
            <w:r w:rsidR="000D2F8B" w:rsidRPr="00DF7E84">
              <w:rPr>
                <w:rFonts w:asciiTheme="minorHAnsi" w:hAnsiTheme="minorHAnsi"/>
                <w:bCs/>
                <w:sz w:val="24"/>
                <w:szCs w:val="24"/>
              </w:rPr>
              <w:fldChar w:fldCharType="separate"/>
            </w:r>
            <w:r w:rsidR="00636A63">
              <w:rPr>
                <w:rFonts w:asciiTheme="minorHAnsi" w:hAnsiTheme="minorHAnsi"/>
                <w:bCs/>
                <w:noProof/>
              </w:rPr>
              <w:t>1</w:t>
            </w:r>
            <w:r w:rsidR="000D2F8B" w:rsidRPr="00DF7E84">
              <w:rPr>
                <w:rFonts w:asciiTheme="minorHAnsi" w:hAnsiTheme="minorHAnsi"/>
                <w:bCs/>
                <w:sz w:val="24"/>
                <w:szCs w:val="24"/>
              </w:rPr>
              <w:fldChar w:fldCharType="end"/>
            </w:r>
            <w:r w:rsidR="000D2F8B" w:rsidRPr="00DF7E84">
              <w:rPr>
                <w:rFonts w:asciiTheme="minorHAnsi" w:hAnsiTheme="minorHAnsi"/>
              </w:rPr>
              <w:t xml:space="preserve"> of </w:t>
            </w:r>
            <w:r w:rsidR="000D2F8B" w:rsidRPr="00DF7E84">
              <w:rPr>
                <w:rFonts w:asciiTheme="minorHAnsi" w:hAnsiTheme="minorHAnsi"/>
                <w:bCs/>
                <w:sz w:val="24"/>
                <w:szCs w:val="24"/>
              </w:rPr>
              <w:fldChar w:fldCharType="begin"/>
            </w:r>
            <w:r w:rsidR="000D2F8B" w:rsidRPr="00DF7E84">
              <w:rPr>
                <w:rFonts w:asciiTheme="minorHAnsi" w:hAnsiTheme="minorHAnsi"/>
                <w:bCs/>
              </w:rPr>
              <w:instrText xml:space="preserve"> NUMPAGES  </w:instrText>
            </w:r>
            <w:r w:rsidR="000D2F8B" w:rsidRPr="00DF7E84">
              <w:rPr>
                <w:rFonts w:asciiTheme="minorHAnsi" w:hAnsiTheme="minorHAnsi"/>
                <w:bCs/>
                <w:sz w:val="24"/>
                <w:szCs w:val="24"/>
              </w:rPr>
              <w:fldChar w:fldCharType="separate"/>
            </w:r>
            <w:r w:rsidR="00636A63">
              <w:rPr>
                <w:rFonts w:asciiTheme="minorHAnsi" w:hAnsiTheme="minorHAnsi"/>
                <w:bCs/>
                <w:noProof/>
              </w:rPr>
              <w:t>4</w:t>
            </w:r>
            <w:r w:rsidR="000D2F8B" w:rsidRPr="00DF7E84">
              <w:rPr>
                <w:rFonts w:asciiTheme="minorHAnsi" w:hAnsiTheme="minorHAnsi"/>
                <w:bCs/>
                <w:sz w:val="24"/>
                <w:szCs w:val="24"/>
              </w:rPr>
              <w:fldChar w:fldCharType="end"/>
            </w:r>
          </w:p>
        </w:sdtContent>
      </w:sdt>
    </w:sdtContent>
  </w:sdt>
  <w:p w:rsidR="000D2F8B" w:rsidRDefault="000D2F8B">
    <w:pPr>
      <w:pStyle w:val="Footer"/>
    </w:pPr>
  </w:p>
  <w:p w:rsidR="00A30BEB" w:rsidRDefault="00A30B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FB3" w:rsidRDefault="00B75FB3" w:rsidP="000D2F8B">
      <w:r>
        <w:separator/>
      </w:r>
    </w:p>
  </w:footnote>
  <w:footnote w:type="continuationSeparator" w:id="0">
    <w:p w:rsidR="00B75FB3" w:rsidRDefault="00B75FB3" w:rsidP="000D2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F8B" w:rsidRPr="000D2F8B" w:rsidRDefault="000D2F8B" w:rsidP="000D2F8B">
    <w:pPr>
      <w:pStyle w:val="NoSpacing"/>
      <w:pBdr>
        <w:bottom w:val="single" w:sz="12" w:space="1" w:color="auto"/>
      </w:pBdr>
      <w:jc w:val="center"/>
      <w:rPr>
        <w:b/>
      </w:rPr>
    </w:pPr>
    <w:r w:rsidRPr="000D2F8B">
      <w:rPr>
        <w:rFonts w:ascii="Arial" w:hAnsi="Arial" w:cs="Arial"/>
        <w:b/>
        <w:noProof/>
        <w:lang w:eastAsia="en-CA"/>
      </w:rPr>
      <w:drawing>
        <wp:anchor distT="0" distB="0" distL="114300" distR="114300" simplePos="0" relativeHeight="251659264" behindDoc="0" locked="0" layoutInCell="1" allowOverlap="1" wp14:anchorId="5220063C" wp14:editId="319BFC45">
          <wp:simplePos x="0" y="0"/>
          <wp:positionH relativeFrom="column">
            <wp:posOffset>0</wp:posOffset>
          </wp:positionH>
          <wp:positionV relativeFrom="paragraph">
            <wp:posOffset>0</wp:posOffset>
          </wp:positionV>
          <wp:extent cx="520995" cy="526366"/>
          <wp:effectExtent l="0" t="0" r="0" b="7620"/>
          <wp:wrapSquare wrapText="bothSides"/>
          <wp:docPr id="2" name="Picture 2" descr="USC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C_logo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0995" cy="526366"/>
                  </a:xfrm>
                  <a:prstGeom prst="rect">
                    <a:avLst/>
                  </a:prstGeom>
                  <a:noFill/>
                  <a:ln>
                    <a:noFill/>
                  </a:ln>
                </pic:spPr>
              </pic:pic>
            </a:graphicData>
          </a:graphic>
        </wp:anchor>
      </w:drawing>
    </w:r>
    <w:r w:rsidRPr="000D2F8B">
      <w:rPr>
        <w:b/>
      </w:rPr>
      <w:t xml:space="preserve">University Students’ Council of the University of Western Ontario </w:t>
    </w:r>
  </w:p>
  <w:p w:rsidR="000D2F8B" w:rsidRDefault="000D2F8B">
    <w:pPr>
      <w:pStyle w:val="Header"/>
    </w:pPr>
  </w:p>
  <w:p w:rsidR="000D2F8B" w:rsidRDefault="000D2F8B">
    <w:pPr>
      <w:pStyle w:val="Header"/>
    </w:pPr>
  </w:p>
  <w:p w:rsidR="00A30BEB" w:rsidRDefault="00A30B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524A"/>
    <w:multiLevelType w:val="hybridMultilevel"/>
    <w:tmpl w:val="32D80B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414FA6"/>
    <w:multiLevelType w:val="hybridMultilevel"/>
    <w:tmpl w:val="B2E80E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8442D6"/>
    <w:multiLevelType w:val="hybridMultilevel"/>
    <w:tmpl w:val="7D70B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C907A5"/>
    <w:multiLevelType w:val="hybridMultilevel"/>
    <w:tmpl w:val="D85CF8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5FA22B7"/>
    <w:multiLevelType w:val="hybridMultilevel"/>
    <w:tmpl w:val="162600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7675F4B"/>
    <w:multiLevelType w:val="hybridMultilevel"/>
    <w:tmpl w:val="081A37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E1773D6"/>
    <w:multiLevelType w:val="hybridMultilevel"/>
    <w:tmpl w:val="D33C1B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F724653"/>
    <w:multiLevelType w:val="hybridMultilevel"/>
    <w:tmpl w:val="CB1435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29835B4"/>
    <w:multiLevelType w:val="hybridMultilevel"/>
    <w:tmpl w:val="EE26C0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AD05109"/>
    <w:multiLevelType w:val="hybridMultilevel"/>
    <w:tmpl w:val="0756E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8"/>
  </w:num>
  <w:num w:numId="6">
    <w:abstractNumId w:val="7"/>
  </w:num>
  <w:num w:numId="7">
    <w:abstractNumId w:val="2"/>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8B"/>
    <w:rsid w:val="000D2F8B"/>
    <w:rsid w:val="000F77D8"/>
    <w:rsid w:val="00102776"/>
    <w:rsid w:val="00236072"/>
    <w:rsid w:val="00242B9C"/>
    <w:rsid w:val="00344443"/>
    <w:rsid w:val="003663D1"/>
    <w:rsid w:val="003D7537"/>
    <w:rsid w:val="003E0C67"/>
    <w:rsid w:val="00471082"/>
    <w:rsid w:val="00636A63"/>
    <w:rsid w:val="00684D8D"/>
    <w:rsid w:val="009A286A"/>
    <w:rsid w:val="00A05239"/>
    <w:rsid w:val="00A30BEB"/>
    <w:rsid w:val="00B75FB3"/>
    <w:rsid w:val="00BE55C1"/>
    <w:rsid w:val="00DC3473"/>
    <w:rsid w:val="00DF7E84"/>
    <w:rsid w:val="00E47769"/>
    <w:rsid w:val="00E947D7"/>
    <w:rsid w:val="00F9461B"/>
    <w:rsid w:val="00FD77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EF3DD2-769B-4DFB-8AFF-E0A1BB2E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3D1"/>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F8B"/>
    <w:pPr>
      <w:spacing w:after="0" w:line="240" w:lineRule="auto"/>
    </w:pPr>
  </w:style>
  <w:style w:type="paragraph" w:styleId="Header">
    <w:name w:val="header"/>
    <w:basedOn w:val="Normal"/>
    <w:link w:val="HeaderChar"/>
    <w:uiPriority w:val="99"/>
    <w:unhideWhenUsed/>
    <w:rsid w:val="000D2F8B"/>
    <w:pPr>
      <w:tabs>
        <w:tab w:val="center" w:pos="4680"/>
        <w:tab w:val="right" w:pos="9360"/>
      </w:tabs>
    </w:pPr>
  </w:style>
  <w:style w:type="character" w:customStyle="1" w:styleId="HeaderChar">
    <w:name w:val="Header Char"/>
    <w:basedOn w:val="DefaultParagraphFont"/>
    <w:link w:val="Header"/>
    <w:uiPriority w:val="99"/>
    <w:rsid w:val="000D2F8B"/>
  </w:style>
  <w:style w:type="paragraph" w:styleId="Footer">
    <w:name w:val="footer"/>
    <w:basedOn w:val="Normal"/>
    <w:link w:val="FooterChar"/>
    <w:uiPriority w:val="99"/>
    <w:unhideWhenUsed/>
    <w:rsid w:val="000D2F8B"/>
    <w:pPr>
      <w:tabs>
        <w:tab w:val="center" w:pos="4680"/>
        <w:tab w:val="right" w:pos="9360"/>
      </w:tabs>
    </w:pPr>
  </w:style>
  <w:style w:type="character" w:customStyle="1" w:styleId="FooterChar">
    <w:name w:val="Footer Char"/>
    <w:basedOn w:val="DefaultParagraphFont"/>
    <w:link w:val="Footer"/>
    <w:uiPriority w:val="99"/>
    <w:rsid w:val="000D2F8B"/>
  </w:style>
  <w:style w:type="table" w:styleId="TableGrid">
    <w:name w:val="Table Grid"/>
    <w:basedOn w:val="TableNormal"/>
    <w:uiPriority w:val="39"/>
    <w:rsid w:val="000D2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uwo.ca/government/council/meetings/2012-13/minutes_meeting8_AGMI.pdf" TargetMode="External"/><Relationship Id="rId13" Type="http://schemas.openxmlformats.org/officeDocument/2006/relationships/hyperlink" Target="http://www.usc.uwo.ca/government/council/meetings/2010-11/minutes_meeting7.pdf" TargetMode="External"/><Relationship Id="rId3" Type="http://schemas.openxmlformats.org/officeDocument/2006/relationships/settings" Target="settings.xml"/><Relationship Id="rId7" Type="http://schemas.openxmlformats.org/officeDocument/2006/relationships/hyperlink" Target="http://www.usc.uwo.ca/government/council/meetings/2012-13/minutes_meeting8_AGMI.pdf" TargetMode="External"/><Relationship Id="rId12" Type="http://schemas.openxmlformats.org/officeDocument/2006/relationships/hyperlink" Target="http://www.usc.uwo.ca/government/council/meetings/2010-11/minutes_meeting8.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c.uwo.ca/government/council/meetings/2011-12/minutes_meeting1.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sc.uwo.ca/government/council/meetings/2011-12/minutes_meeting7.pdf" TargetMode="External"/><Relationship Id="rId4" Type="http://schemas.openxmlformats.org/officeDocument/2006/relationships/webSettings" Target="webSettings.xml"/><Relationship Id="rId9" Type="http://schemas.openxmlformats.org/officeDocument/2006/relationships/hyperlink" Target="http://www.usc.uwo.ca/government/council/meetings/2011-12/minutes_meeting8.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 Finance</dc:creator>
  <cp:keywords/>
  <dc:description/>
  <cp:lastModifiedBy>VP Finance</cp:lastModifiedBy>
  <cp:revision>2</cp:revision>
  <dcterms:created xsi:type="dcterms:W3CDTF">2016-04-08T18:44:00Z</dcterms:created>
  <dcterms:modified xsi:type="dcterms:W3CDTF">2016-04-08T18:44:00Z</dcterms:modified>
</cp:coreProperties>
</file>