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3D44D3" w:rsidRDefault="003D44D3" w:rsidP="000D2F8B">
      <w:pPr>
        <w:pStyle w:val="NoSpacing"/>
        <w:jc w:val="center"/>
        <w:rPr>
          <w:b/>
        </w:rPr>
      </w:pPr>
      <w:r w:rsidRPr="003D44D3">
        <w:rPr>
          <w:b/>
        </w:rPr>
        <w:t>EXTERNAL RELATIONSHIPS AND STRATEGIES POLICY</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9863A3" w:rsidP="000D2F8B">
            <w:pPr>
              <w:pStyle w:val="NoSpacing"/>
              <w:jc w:val="center"/>
            </w:pPr>
            <w:r>
              <w:t>19 July 2015</w:t>
            </w:r>
            <w:bookmarkStart w:id="0" w:name="_GoBack"/>
            <w:bookmarkEnd w:id="0"/>
          </w:p>
        </w:tc>
        <w:tc>
          <w:tcPr>
            <w:tcW w:w="4675" w:type="dxa"/>
          </w:tcPr>
          <w:p w:rsidR="000D2F8B" w:rsidRDefault="003D44D3" w:rsidP="000D2F8B">
            <w:pPr>
              <w:pStyle w:val="NoSpacing"/>
              <w:jc w:val="center"/>
            </w:pPr>
            <w:r>
              <w:t>USC Council</w:t>
            </w:r>
          </w:p>
        </w:tc>
      </w:tr>
    </w:tbl>
    <w:p w:rsidR="000D2F8B" w:rsidRDefault="000D2F8B" w:rsidP="000D2F8B">
      <w:pPr>
        <w:pStyle w:val="NoSpacing"/>
        <w:jc w:val="center"/>
      </w:pPr>
    </w:p>
    <w:p w:rsidR="000D2F8B" w:rsidRDefault="000D2F8B" w:rsidP="00FD77BE">
      <w:pPr>
        <w:pStyle w:val="NoSpacing"/>
      </w:pPr>
    </w:p>
    <w:p w:rsidR="000D2F8B" w:rsidRDefault="003D44D3" w:rsidP="003D44D3">
      <w:pPr>
        <w:pStyle w:val="NoSpacing"/>
      </w:pPr>
      <w:r w:rsidRPr="003D44D3">
        <w:rPr>
          <w:b/>
        </w:rPr>
        <w:t>1.</w:t>
      </w:r>
      <w:r>
        <w:rPr>
          <w:b/>
        </w:rPr>
        <w:t xml:space="preserve"> Objective</w:t>
      </w:r>
    </w:p>
    <w:p w:rsidR="003D44D3" w:rsidRDefault="003D44D3" w:rsidP="003D44D3">
      <w:pPr>
        <w:pStyle w:val="NoSpacing"/>
      </w:pPr>
      <w:r>
        <w:t>The USC has the opportunity to work with multiple groups and organizations. This policy establishes the values necessary to the USC’s external relationships, as well as how the relationship with other organizations can manifest.</w:t>
      </w:r>
    </w:p>
    <w:p w:rsidR="000D2F8B" w:rsidRDefault="000D2F8B" w:rsidP="000D2F8B">
      <w:pPr>
        <w:pStyle w:val="NoSpacing"/>
      </w:pPr>
    </w:p>
    <w:p w:rsidR="003D44D3" w:rsidRDefault="003D44D3" w:rsidP="000D2F8B">
      <w:pPr>
        <w:pStyle w:val="NoSpacing"/>
      </w:pPr>
      <w:r>
        <w:rPr>
          <w:b/>
        </w:rPr>
        <w:t>2. Principles and Values</w:t>
      </w:r>
    </w:p>
    <w:p w:rsidR="003D44D3" w:rsidRDefault="003D44D3" w:rsidP="003D44D3">
      <w:pPr>
        <w:pStyle w:val="NoSpacing"/>
      </w:pPr>
      <w:r>
        <w:t>The USC believes that external organizations should share some of the following principles, focused on ensuring a better quality of life for students:</w:t>
      </w:r>
    </w:p>
    <w:p w:rsidR="003D44D3" w:rsidRDefault="003D44D3" w:rsidP="003D44D3">
      <w:pPr>
        <w:pStyle w:val="NoSpacing"/>
        <w:numPr>
          <w:ilvl w:val="0"/>
          <w:numId w:val="4"/>
        </w:numPr>
      </w:pPr>
      <w:r>
        <w:t>Fairness, objectivity and equality.</w:t>
      </w:r>
    </w:p>
    <w:p w:rsidR="003D44D3" w:rsidRDefault="003D44D3" w:rsidP="003D44D3">
      <w:pPr>
        <w:pStyle w:val="NoSpacing"/>
        <w:numPr>
          <w:ilvl w:val="0"/>
          <w:numId w:val="4"/>
        </w:numPr>
      </w:pPr>
      <w:r>
        <w:t>Social responsibility.</w:t>
      </w:r>
    </w:p>
    <w:p w:rsidR="003D44D3" w:rsidRDefault="003D44D3" w:rsidP="003D44D3">
      <w:pPr>
        <w:pStyle w:val="NoSpacing"/>
        <w:numPr>
          <w:ilvl w:val="0"/>
          <w:numId w:val="4"/>
        </w:numPr>
      </w:pPr>
      <w:r>
        <w:t>Good governance.</w:t>
      </w:r>
    </w:p>
    <w:p w:rsidR="003D44D3" w:rsidRDefault="003D44D3" w:rsidP="003D44D3">
      <w:pPr>
        <w:pStyle w:val="NoSpacing"/>
        <w:numPr>
          <w:ilvl w:val="0"/>
          <w:numId w:val="4"/>
        </w:numPr>
      </w:pPr>
      <w:r>
        <w:t>Transparency and accountability.</w:t>
      </w:r>
    </w:p>
    <w:p w:rsidR="003D44D3" w:rsidRDefault="003D44D3" w:rsidP="003D44D3">
      <w:pPr>
        <w:pStyle w:val="NoSpacing"/>
        <w:numPr>
          <w:ilvl w:val="0"/>
          <w:numId w:val="4"/>
        </w:numPr>
      </w:pPr>
      <w:r>
        <w:t>Expanding experiential learning experiences.</w:t>
      </w:r>
    </w:p>
    <w:p w:rsidR="003D44D3" w:rsidRDefault="003D44D3" w:rsidP="003D44D3">
      <w:pPr>
        <w:pStyle w:val="NoSpacing"/>
        <w:numPr>
          <w:ilvl w:val="0"/>
          <w:numId w:val="4"/>
        </w:numPr>
      </w:pPr>
      <w:r>
        <w:t>Increasing student accessibility and transportation needs.</w:t>
      </w:r>
    </w:p>
    <w:p w:rsidR="003D44D3" w:rsidRDefault="003D44D3" w:rsidP="003D44D3">
      <w:pPr>
        <w:pStyle w:val="NoSpacing"/>
        <w:numPr>
          <w:ilvl w:val="0"/>
          <w:numId w:val="4"/>
        </w:numPr>
      </w:pPr>
      <w:r>
        <w:t>Improving student wellness.</w:t>
      </w:r>
    </w:p>
    <w:p w:rsidR="003D44D3" w:rsidRDefault="003D44D3" w:rsidP="003D44D3">
      <w:pPr>
        <w:pStyle w:val="NoSpacing"/>
        <w:numPr>
          <w:ilvl w:val="0"/>
          <w:numId w:val="4"/>
        </w:numPr>
      </w:pPr>
      <w:r>
        <w:t>Providing safe and secure space and services to students.</w:t>
      </w:r>
    </w:p>
    <w:p w:rsidR="003D44D3" w:rsidRDefault="003D44D3" w:rsidP="000D2F8B">
      <w:pPr>
        <w:pStyle w:val="NoSpacing"/>
      </w:pPr>
    </w:p>
    <w:p w:rsidR="003D44D3" w:rsidRDefault="003D44D3" w:rsidP="000D2F8B">
      <w:pPr>
        <w:pStyle w:val="NoSpacing"/>
      </w:pPr>
      <w:r>
        <w:rPr>
          <w:b/>
        </w:rPr>
        <w:t>3. Relationships and Partnerships</w:t>
      </w:r>
    </w:p>
    <w:p w:rsidR="003D44D3" w:rsidRDefault="003D44D3" w:rsidP="003D44D3">
      <w:pPr>
        <w:pStyle w:val="NoSpacing"/>
      </w:pPr>
      <w:r>
        <w:t>Relationships with external organizations will be formalized, and can take a variety of forms, including the follow:</w:t>
      </w:r>
    </w:p>
    <w:p w:rsidR="003D44D3" w:rsidRDefault="003D44D3" w:rsidP="003D44D3">
      <w:pPr>
        <w:pStyle w:val="NoSpacing"/>
        <w:numPr>
          <w:ilvl w:val="0"/>
          <w:numId w:val="5"/>
        </w:numPr>
      </w:pPr>
      <w:r>
        <w:t>Memorandum of Understanding (MoU): an agreement involving two or more parties, expressing a shared will and understanding, and outlines a degree of procedure, protocol or line of action to address the key audience.</w:t>
      </w:r>
    </w:p>
    <w:p w:rsidR="003D44D3" w:rsidRPr="003D44D3" w:rsidRDefault="003D44D3" w:rsidP="003D44D3">
      <w:pPr>
        <w:pStyle w:val="NoSpacing"/>
        <w:numPr>
          <w:ilvl w:val="0"/>
          <w:numId w:val="5"/>
        </w:numPr>
      </w:pPr>
      <w:r>
        <w:t>Membership Agreement: a mutually beneficial agreement that assists in the USC and the external organizations in the delivery of a service, or improving the educational experience</w:t>
      </w:r>
    </w:p>
    <w:p w:rsidR="000D2F8B" w:rsidRDefault="000D2F8B" w:rsidP="000D2F8B">
      <w:pPr>
        <w:pStyle w:val="NoSpacing"/>
      </w:pPr>
    </w:p>
    <w:p w:rsidR="000D2F8B" w:rsidRDefault="003D44D3" w:rsidP="003D44D3">
      <w:pPr>
        <w:pStyle w:val="NoSpacing"/>
        <w:rPr>
          <w:b/>
        </w:rPr>
      </w:pPr>
      <w:r w:rsidRPr="003D44D3">
        <w:rPr>
          <w:b/>
        </w:rPr>
        <w:t>4.</w:t>
      </w:r>
      <w:r>
        <w:rPr>
          <w:b/>
        </w:rPr>
        <w:t xml:space="preserve"> Context and Enactment</w:t>
      </w:r>
    </w:p>
    <w:p w:rsidR="003D44D3" w:rsidRPr="009863A3" w:rsidRDefault="003D44D3" w:rsidP="003D44D3">
      <w:pPr>
        <w:pStyle w:val="NoSpacing"/>
        <w:numPr>
          <w:ilvl w:val="0"/>
          <w:numId w:val="6"/>
        </w:numPr>
      </w:pPr>
      <w:r>
        <w:t xml:space="preserve">Documents Repealed – </w:t>
      </w:r>
      <w:r w:rsidRPr="009863A3">
        <w:t>By-law 3</w:t>
      </w:r>
      <w:r w:rsidR="00D2095F" w:rsidRPr="009863A3">
        <w:t>:</w:t>
      </w:r>
      <w:r w:rsidRPr="009863A3">
        <w:t xml:space="preserve"> External Political Representation</w:t>
      </w:r>
    </w:p>
    <w:p w:rsidR="00D2095F" w:rsidRPr="009863A3" w:rsidRDefault="003D44D3" w:rsidP="00FD77BE">
      <w:pPr>
        <w:pStyle w:val="NoSpacing"/>
        <w:numPr>
          <w:ilvl w:val="0"/>
          <w:numId w:val="6"/>
        </w:numPr>
      </w:pPr>
      <w:r w:rsidRPr="009863A3">
        <w:t xml:space="preserve">Supporting/Related Documents – Ontario Undergraduate Student Alliance Policy and Procedure </w:t>
      </w:r>
    </w:p>
    <w:p w:rsidR="00D2095F" w:rsidRDefault="009863A3" w:rsidP="00FD77BE">
      <w:pPr>
        <w:pStyle w:val="NoSpacing"/>
        <w:numPr>
          <w:ilvl w:val="0"/>
          <w:numId w:val="6"/>
        </w:numPr>
      </w:pPr>
      <w:r>
        <w:t xml:space="preserve">Date Passed - </w:t>
      </w:r>
      <w:r w:rsidR="00742AAC">
        <w:t>19 July 2015</w:t>
      </w:r>
    </w:p>
    <w:p w:rsidR="00FD77BE" w:rsidRDefault="009863A3" w:rsidP="00FD77BE">
      <w:pPr>
        <w:pStyle w:val="NoSpacing"/>
        <w:numPr>
          <w:ilvl w:val="0"/>
          <w:numId w:val="6"/>
        </w:numPr>
      </w:pPr>
      <w:r>
        <w:t>All Previous Amendments – N/A</w:t>
      </w:r>
    </w:p>
    <w:sectPr w:rsidR="00FD77B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F3E" w:rsidRDefault="00206F3E" w:rsidP="000D2F8B">
      <w:pPr>
        <w:spacing w:after="0" w:line="240" w:lineRule="auto"/>
      </w:pPr>
      <w:r>
        <w:separator/>
      </w:r>
    </w:p>
  </w:endnote>
  <w:endnote w:type="continuationSeparator" w:id="0">
    <w:p w:rsidR="00206F3E" w:rsidRDefault="00206F3E"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3D44D3">
            <w:pPr>
              <w:pStyle w:val="Footer"/>
              <w:jc w:val="center"/>
            </w:pPr>
            <w:r w:rsidRPr="003D44D3">
              <w:t>External Relationships and Strategies Policy</w:t>
            </w:r>
            <w:r w:rsidR="000D2F8B" w:rsidRPr="003D44D3">
              <w:t xml:space="preserve"> </w:t>
            </w:r>
            <w:r w:rsidR="000D2F8B" w:rsidRPr="003D44D3">
              <w:tab/>
            </w:r>
            <w:r w:rsidR="000D2F8B" w:rsidRPr="003D44D3">
              <w:tab/>
              <w:t xml:space="preserve">Page </w:t>
            </w:r>
            <w:r w:rsidR="000D2F8B" w:rsidRPr="003D44D3">
              <w:rPr>
                <w:bCs/>
                <w:sz w:val="24"/>
                <w:szCs w:val="24"/>
              </w:rPr>
              <w:fldChar w:fldCharType="begin"/>
            </w:r>
            <w:r w:rsidR="000D2F8B" w:rsidRPr="003D44D3">
              <w:rPr>
                <w:bCs/>
              </w:rPr>
              <w:instrText xml:space="preserve"> PAGE </w:instrText>
            </w:r>
            <w:r w:rsidR="000D2F8B" w:rsidRPr="003D44D3">
              <w:rPr>
                <w:bCs/>
                <w:sz w:val="24"/>
                <w:szCs w:val="24"/>
              </w:rPr>
              <w:fldChar w:fldCharType="separate"/>
            </w:r>
            <w:r w:rsidR="009863A3">
              <w:rPr>
                <w:bCs/>
                <w:noProof/>
              </w:rPr>
              <w:t>1</w:t>
            </w:r>
            <w:r w:rsidR="000D2F8B" w:rsidRPr="003D44D3">
              <w:rPr>
                <w:bCs/>
                <w:sz w:val="24"/>
                <w:szCs w:val="24"/>
              </w:rPr>
              <w:fldChar w:fldCharType="end"/>
            </w:r>
            <w:r w:rsidR="000D2F8B" w:rsidRPr="003D44D3">
              <w:t xml:space="preserve"> of </w:t>
            </w:r>
            <w:r w:rsidR="000D2F8B" w:rsidRPr="003D44D3">
              <w:rPr>
                <w:bCs/>
                <w:sz w:val="24"/>
                <w:szCs w:val="24"/>
              </w:rPr>
              <w:fldChar w:fldCharType="begin"/>
            </w:r>
            <w:r w:rsidR="000D2F8B" w:rsidRPr="003D44D3">
              <w:rPr>
                <w:bCs/>
              </w:rPr>
              <w:instrText xml:space="preserve"> NUMPAGES  </w:instrText>
            </w:r>
            <w:r w:rsidR="000D2F8B" w:rsidRPr="003D44D3">
              <w:rPr>
                <w:bCs/>
                <w:sz w:val="24"/>
                <w:szCs w:val="24"/>
              </w:rPr>
              <w:fldChar w:fldCharType="separate"/>
            </w:r>
            <w:r w:rsidR="009863A3">
              <w:rPr>
                <w:bCs/>
                <w:noProof/>
              </w:rPr>
              <w:t>1</w:t>
            </w:r>
            <w:r w:rsidR="000D2F8B" w:rsidRPr="003D44D3">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F3E" w:rsidRDefault="00206F3E" w:rsidP="000D2F8B">
      <w:pPr>
        <w:spacing w:after="0" w:line="240" w:lineRule="auto"/>
      </w:pPr>
      <w:r>
        <w:separator/>
      </w:r>
    </w:p>
  </w:footnote>
  <w:footnote w:type="continuationSeparator" w:id="0">
    <w:p w:rsidR="00206F3E" w:rsidRDefault="00206F3E"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F82E3F"/>
    <w:multiLevelType w:val="hybridMultilevel"/>
    <w:tmpl w:val="2B061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0E228A"/>
    <w:multiLevelType w:val="hybridMultilevel"/>
    <w:tmpl w:val="8786A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454401"/>
    <w:multiLevelType w:val="hybridMultilevel"/>
    <w:tmpl w:val="B3E6EDC8"/>
    <w:lvl w:ilvl="0" w:tplc="F4B8EA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A82E17"/>
    <w:multiLevelType w:val="hybridMultilevel"/>
    <w:tmpl w:val="1FA4301E"/>
    <w:lvl w:ilvl="0" w:tplc="FD88EF0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D2F8B"/>
    <w:rsid w:val="00206F3E"/>
    <w:rsid w:val="00236072"/>
    <w:rsid w:val="003D44D3"/>
    <w:rsid w:val="003D7537"/>
    <w:rsid w:val="00742AAC"/>
    <w:rsid w:val="009863A3"/>
    <w:rsid w:val="00B60FB2"/>
    <w:rsid w:val="00CA1280"/>
    <w:rsid w:val="00D2095F"/>
    <w:rsid w:val="00DC3473"/>
    <w:rsid w:val="00E47769"/>
    <w:rsid w:val="00FD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2</cp:revision>
  <dcterms:created xsi:type="dcterms:W3CDTF">2015-11-19T21:56:00Z</dcterms:created>
  <dcterms:modified xsi:type="dcterms:W3CDTF">2015-11-19T21:56:00Z</dcterms:modified>
</cp:coreProperties>
</file>