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5E39A7" w:rsidP="000D2F8B">
      <w:pPr>
        <w:pStyle w:val="NoSpacing"/>
        <w:jc w:val="center"/>
        <w:rPr>
          <w:b/>
        </w:rPr>
      </w:pPr>
      <w:r>
        <w:rPr>
          <w:b/>
        </w:rPr>
        <w:t>ELECTIONS GOVERNANCE COMMITTEE TERMS OF REFERENCE</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5E39A7" w:rsidP="000D2F8B">
            <w:pPr>
              <w:pStyle w:val="NoSpacing"/>
              <w:jc w:val="center"/>
            </w:pPr>
            <w:r>
              <w:t>26 November 2015</w:t>
            </w:r>
          </w:p>
        </w:tc>
        <w:tc>
          <w:tcPr>
            <w:tcW w:w="4675" w:type="dxa"/>
          </w:tcPr>
          <w:p w:rsidR="000D2F8B" w:rsidRDefault="005E39A7" w:rsidP="000D2F8B">
            <w:pPr>
              <w:pStyle w:val="NoSpacing"/>
              <w:jc w:val="center"/>
            </w:pPr>
            <w:r>
              <w:t>USC Council</w:t>
            </w:r>
          </w:p>
        </w:tc>
      </w:tr>
    </w:tbl>
    <w:p w:rsidR="000D2F8B" w:rsidRDefault="000D2F8B" w:rsidP="000D2F8B">
      <w:pPr>
        <w:pStyle w:val="NoSpacing"/>
        <w:jc w:val="center"/>
      </w:pPr>
    </w:p>
    <w:p w:rsidR="000D2F8B" w:rsidRDefault="005E39A7" w:rsidP="000D2F8B">
      <w:pPr>
        <w:pStyle w:val="NoSpacing"/>
      </w:pPr>
      <w:r>
        <w:rPr>
          <w:b/>
        </w:rPr>
        <w:t>1. Mandate</w:t>
      </w:r>
    </w:p>
    <w:p w:rsidR="005E39A7" w:rsidRDefault="008939CB" w:rsidP="000D2F8B">
      <w:pPr>
        <w:pStyle w:val="NoSpacing"/>
      </w:pPr>
      <w:r>
        <w:t>The mandate of the Elections Governance Committee (EGC) shall be,</w:t>
      </w:r>
      <w:r>
        <w:br/>
      </w:r>
    </w:p>
    <w:p w:rsidR="005E39A7" w:rsidRDefault="005E39A7" w:rsidP="005E39A7">
      <w:pPr>
        <w:pStyle w:val="NoSpacing"/>
        <w:numPr>
          <w:ilvl w:val="0"/>
          <w:numId w:val="7"/>
        </w:numPr>
      </w:pPr>
      <w:r>
        <w:t xml:space="preserve">Administer </w:t>
      </w:r>
      <w:r>
        <w:rPr>
          <w:b/>
          <w:u w:val="single"/>
        </w:rPr>
        <w:t>By-law #2</w:t>
      </w:r>
      <w:r>
        <w:t xml:space="preserve"> and uphold its Vision and Principles.</w:t>
      </w:r>
      <w:r>
        <w:br/>
      </w:r>
    </w:p>
    <w:p w:rsidR="005E39A7" w:rsidRDefault="005E39A7" w:rsidP="005E39A7">
      <w:pPr>
        <w:pStyle w:val="NoSpacing"/>
        <w:numPr>
          <w:ilvl w:val="0"/>
          <w:numId w:val="7"/>
        </w:numPr>
      </w:pPr>
      <w:r>
        <w:t xml:space="preserve">Oversee the </w:t>
      </w:r>
      <w:proofErr w:type="gramStart"/>
      <w:r>
        <w:t>Spring</w:t>
      </w:r>
      <w:proofErr w:type="gramEnd"/>
      <w:r>
        <w:t xml:space="preserve"> and the Fall Elections in accordance with the provisions of By-law #2.</w:t>
      </w:r>
      <w:r>
        <w:br/>
      </w:r>
    </w:p>
    <w:p w:rsidR="005E39A7" w:rsidRDefault="005E39A7" w:rsidP="005E39A7">
      <w:pPr>
        <w:pStyle w:val="NoSpacing"/>
        <w:numPr>
          <w:ilvl w:val="0"/>
          <w:numId w:val="7"/>
        </w:numPr>
      </w:pPr>
      <w:r>
        <w:t>Develop and maintain a clear set of criteria and considerations to be used by the Committee when making decisions relating to elections.</w:t>
      </w:r>
      <w:r>
        <w:br/>
      </w:r>
    </w:p>
    <w:p w:rsidR="00CC7BA2" w:rsidRDefault="005E39A7" w:rsidP="00CC7BA2">
      <w:pPr>
        <w:pStyle w:val="NoSpacing"/>
        <w:numPr>
          <w:ilvl w:val="2"/>
          <w:numId w:val="7"/>
        </w:numPr>
      </w:pPr>
      <w:r>
        <w:t>The Committee may release Regulations detailing how By-law #2 will be interpreted and applied during an election</w:t>
      </w:r>
      <w:r w:rsidR="00CC7BA2">
        <w:t xml:space="preserve"> period. The Regulations shall be binding as though they were a part of the by-laws, provided that:</w:t>
      </w:r>
    </w:p>
    <w:p w:rsidR="00CC7BA2" w:rsidRDefault="00CC7BA2" w:rsidP="00CC7BA2">
      <w:pPr>
        <w:pStyle w:val="NoSpacing"/>
        <w:numPr>
          <w:ilvl w:val="4"/>
          <w:numId w:val="7"/>
        </w:numPr>
      </w:pPr>
      <w:r>
        <w:t>The Regulations are consistent with the by-laws; and,</w:t>
      </w:r>
    </w:p>
    <w:p w:rsidR="00CC7BA2" w:rsidRDefault="00CC7BA2" w:rsidP="00CC7BA2">
      <w:pPr>
        <w:pStyle w:val="NoSpacing"/>
        <w:numPr>
          <w:ilvl w:val="4"/>
          <w:numId w:val="7"/>
        </w:numPr>
      </w:pPr>
      <w:r>
        <w:t>The Regulations are openly available to candidates at the start of nominations.</w:t>
      </w:r>
    </w:p>
    <w:p w:rsidR="00CC7BA2" w:rsidRDefault="00CC7BA2" w:rsidP="00CC7BA2">
      <w:pPr>
        <w:pStyle w:val="NoSpacing"/>
        <w:numPr>
          <w:ilvl w:val="4"/>
          <w:numId w:val="7"/>
        </w:numPr>
      </w:pPr>
      <w:r>
        <w:t>The Committee recommend</w:t>
      </w:r>
      <w:r w:rsidR="00461610">
        <w:t>s</w:t>
      </w:r>
      <w:r>
        <w:t xml:space="preserve"> to </w:t>
      </w:r>
      <w:r w:rsidR="00461610">
        <w:t xml:space="preserve">Senior Operations Committee any </w:t>
      </w:r>
      <w:r>
        <w:t>by-law amendments related to Regulations issued as soon as possible following the end of the polling period.</w:t>
      </w:r>
      <w:r>
        <w:br/>
      </w:r>
    </w:p>
    <w:p w:rsidR="00CC7BA2" w:rsidRDefault="00CC7BA2" w:rsidP="00CC7BA2">
      <w:pPr>
        <w:pStyle w:val="NoSpacing"/>
        <w:numPr>
          <w:ilvl w:val="0"/>
          <w:numId w:val="7"/>
        </w:numPr>
      </w:pPr>
      <w:r>
        <w:t>Make recommendations to Council on all matters, including by-law amendments that relate to USC Elections.</w:t>
      </w:r>
      <w:r>
        <w:br/>
      </w:r>
    </w:p>
    <w:p w:rsidR="005E39A7" w:rsidRDefault="00CC7BA2" w:rsidP="001E52E4">
      <w:pPr>
        <w:pStyle w:val="NoSpacing"/>
        <w:numPr>
          <w:ilvl w:val="0"/>
          <w:numId w:val="7"/>
        </w:numPr>
      </w:pPr>
      <w:r>
        <w:t>Not seek office in an election, support any candidate, or endorse a position in a referendum. Failure to comply with this requirement will result in the immediate removal from the Elections Governance Committee.</w:t>
      </w:r>
      <w:r>
        <w:br/>
      </w:r>
    </w:p>
    <w:p w:rsidR="005E39A7" w:rsidRDefault="005E39A7" w:rsidP="005E39A7">
      <w:pPr>
        <w:pStyle w:val="NoSpacing"/>
      </w:pPr>
      <w:r>
        <w:rPr>
          <w:b/>
        </w:rPr>
        <w:t xml:space="preserve">2. </w:t>
      </w:r>
      <w:r w:rsidR="00D06027">
        <w:rPr>
          <w:b/>
        </w:rPr>
        <w:t>Composition</w:t>
      </w:r>
      <w:r w:rsidR="00D06027">
        <w:br/>
      </w:r>
      <w:proofErr w:type="gramStart"/>
      <w:r w:rsidR="00D06027">
        <w:t>The</w:t>
      </w:r>
      <w:proofErr w:type="gramEnd"/>
      <w:r w:rsidR="00D06027">
        <w:t xml:space="preserve"> Elections Governance Committee shall be composed</w:t>
      </w:r>
      <w:r w:rsidR="007F0EF7">
        <w:t xml:space="preserve"> of</w:t>
      </w:r>
      <w:r w:rsidR="00461610">
        <w:t>:</w:t>
      </w:r>
    </w:p>
    <w:p w:rsidR="00D06027" w:rsidRDefault="00D06027" w:rsidP="005E39A7">
      <w:pPr>
        <w:pStyle w:val="NoSpacing"/>
      </w:pPr>
    </w:p>
    <w:p w:rsidR="00D06027" w:rsidRDefault="00D06027" w:rsidP="007E1341">
      <w:pPr>
        <w:pStyle w:val="NoSpacing"/>
        <w:numPr>
          <w:ilvl w:val="0"/>
          <w:numId w:val="8"/>
        </w:numPr>
      </w:pPr>
      <w:r>
        <w:t xml:space="preserve">The Chief Returning Officer (CRO), </w:t>
      </w:r>
      <w:r w:rsidRPr="00D06027">
        <w:rPr>
          <w:i/>
        </w:rPr>
        <w:t>ex-officio</w:t>
      </w:r>
      <w:r>
        <w:t>, as chairperson, voting;</w:t>
      </w:r>
    </w:p>
    <w:p w:rsidR="00D06027" w:rsidRDefault="00D06027" w:rsidP="007E1341">
      <w:pPr>
        <w:pStyle w:val="NoSpacing"/>
        <w:numPr>
          <w:ilvl w:val="0"/>
          <w:numId w:val="8"/>
        </w:numPr>
      </w:pPr>
      <w:r>
        <w:t xml:space="preserve">The Deputy Returning Officer (DRO), </w:t>
      </w:r>
      <w:r>
        <w:rPr>
          <w:i/>
        </w:rPr>
        <w:t>ex-officio</w:t>
      </w:r>
      <w:r>
        <w:t>, as vice-chairperson, voting;</w:t>
      </w:r>
    </w:p>
    <w:p w:rsidR="00D06027" w:rsidRDefault="00D06027" w:rsidP="00D06027">
      <w:pPr>
        <w:pStyle w:val="NoSpacing"/>
        <w:numPr>
          <w:ilvl w:val="0"/>
          <w:numId w:val="8"/>
        </w:numPr>
      </w:pPr>
      <w:r>
        <w:t>Up to nine (9), minimum five (5), undergraduate students of the University, voting;</w:t>
      </w:r>
    </w:p>
    <w:p w:rsidR="00D06027" w:rsidRDefault="00D06027" w:rsidP="00D06027">
      <w:pPr>
        <w:pStyle w:val="NoSpacing"/>
        <w:numPr>
          <w:ilvl w:val="0"/>
          <w:numId w:val="8"/>
        </w:numPr>
      </w:pPr>
      <w:r>
        <w:t xml:space="preserve">The Secretary-Treasurer, </w:t>
      </w:r>
      <w:r>
        <w:rPr>
          <w:i/>
        </w:rPr>
        <w:t>ex-officio</w:t>
      </w:r>
      <w:r>
        <w:t>, non-voting, resource, and;</w:t>
      </w:r>
    </w:p>
    <w:p w:rsidR="00D06027" w:rsidRDefault="00D06027" w:rsidP="00D06027">
      <w:pPr>
        <w:pStyle w:val="NoSpacing"/>
        <w:numPr>
          <w:ilvl w:val="0"/>
          <w:numId w:val="8"/>
        </w:numPr>
      </w:pPr>
      <w:r>
        <w:t>The</w:t>
      </w:r>
      <w:r w:rsidR="00461610">
        <w:t xml:space="preserve"> Coordinator of Council Services</w:t>
      </w:r>
      <w:r>
        <w:t>, non-voting, resource.</w:t>
      </w:r>
    </w:p>
    <w:p w:rsidR="00D06027" w:rsidRDefault="00D06027" w:rsidP="00D06027">
      <w:pPr>
        <w:pStyle w:val="NoSpacing"/>
      </w:pPr>
    </w:p>
    <w:p w:rsidR="008939CB" w:rsidRDefault="00D06027" w:rsidP="00D06027">
      <w:pPr>
        <w:pStyle w:val="NoSpacing"/>
        <w:rPr>
          <w:b/>
        </w:rPr>
      </w:pPr>
      <w:r>
        <w:rPr>
          <w:b/>
        </w:rPr>
        <w:t>3. Structure and Subcommittees</w:t>
      </w:r>
    </w:p>
    <w:p w:rsidR="008939CB" w:rsidRDefault="008939CB" w:rsidP="00D06027">
      <w:pPr>
        <w:pStyle w:val="NoSpacing"/>
        <w:rPr>
          <w:b/>
        </w:rPr>
      </w:pPr>
    </w:p>
    <w:p w:rsidR="008939CB" w:rsidRDefault="008939CB" w:rsidP="008939CB">
      <w:pPr>
        <w:pStyle w:val="NoSpacing"/>
        <w:numPr>
          <w:ilvl w:val="0"/>
          <w:numId w:val="9"/>
        </w:numPr>
      </w:pPr>
      <w:r>
        <w:t>The Elections Governance Committee shall have the following sub-committees and each sub-committee shall have the member proscribed:</w:t>
      </w:r>
      <w:r>
        <w:br/>
      </w:r>
    </w:p>
    <w:p w:rsidR="008939CB" w:rsidRDefault="008939CB" w:rsidP="008939CB">
      <w:pPr>
        <w:pStyle w:val="NoSpacing"/>
        <w:numPr>
          <w:ilvl w:val="2"/>
          <w:numId w:val="9"/>
        </w:numPr>
      </w:pPr>
      <w:r>
        <w:t>Finance Subcommittee (at least 1 member)</w:t>
      </w:r>
    </w:p>
    <w:p w:rsidR="008939CB" w:rsidRDefault="008939CB" w:rsidP="008939CB">
      <w:pPr>
        <w:pStyle w:val="NoSpacing"/>
        <w:numPr>
          <w:ilvl w:val="2"/>
          <w:numId w:val="9"/>
        </w:numPr>
      </w:pPr>
      <w:r>
        <w:lastRenderedPageBreak/>
        <w:t>Investigations and Violations Subcommittee (at least 5 members)</w:t>
      </w:r>
      <w:r>
        <w:br/>
      </w:r>
    </w:p>
    <w:p w:rsidR="008939CB" w:rsidRDefault="00461610" w:rsidP="008939CB">
      <w:pPr>
        <w:pStyle w:val="NoSpacing"/>
        <w:numPr>
          <w:ilvl w:val="0"/>
          <w:numId w:val="9"/>
        </w:numPr>
      </w:pPr>
      <w:r>
        <w:t>The Finance Subcommittee, and the Investigations and Violations Subcommittee</w:t>
      </w:r>
      <w:r w:rsidR="008939CB">
        <w:t xml:space="preserve"> shall be chaired by a Manager as appointed by the Chief Returning Officer.</w:t>
      </w:r>
      <w:r w:rsidR="008939CB">
        <w:br/>
      </w:r>
    </w:p>
    <w:p w:rsidR="008939CB" w:rsidRDefault="008939CB" w:rsidP="008939CB">
      <w:pPr>
        <w:pStyle w:val="NoSpacing"/>
        <w:numPr>
          <w:ilvl w:val="0"/>
          <w:numId w:val="9"/>
        </w:numPr>
      </w:pPr>
      <w:r>
        <w:t>Each subcommittee shall report to the Elections Governance Committee on a regular basis.</w:t>
      </w:r>
      <w:r>
        <w:br/>
      </w:r>
    </w:p>
    <w:p w:rsidR="008939CB" w:rsidRDefault="008939CB" w:rsidP="008939CB">
      <w:pPr>
        <w:pStyle w:val="NoSpacing"/>
        <w:numPr>
          <w:ilvl w:val="0"/>
          <w:numId w:val="9"/>
        </w:numPr>
      </w:pPr>
      <w:r>
        <w:t xml:space="preserve">Elections Committee shall have the final authority to approve any and all decisions unless specified in </w:t>
      </w:r>
      <w:r>
        <w:rPr>
          <w:b/>
          <w:u w:val="single"/>
        </w:rPr>
        <w:t>By-law #2</w:t>
      </w:r>
      <w:r>
        <w:t xml:space="preserve"> or the Elections Governance Committee’s written procedures.</w:t>
      </w:r>
      <w:r>
        <w:br/>
      </w:r>
    </w:p>
    <w:p w:rsidR="008939CB" w:rsidRDefault="008939CB" w:rsidP="008939CB">
      <w:pPr>
        <w:pStyle w:val="NoSpacing"/>
      </w:pPr>
      <w:r>
        <w:rPr>
          <w:b/>
        </w:rPr>
        <w:t>4. Meetings</w:t>
      </w:r>
    </w:p>
    <w:p w:rsidR="008939CB" w:rsidRDefault="008939CB" w:rsidP="008939CB">
      <w:pPr>
        <w:pStyle w:val="NoSpacing"/>
      </w:pPr>
    </w:p>
    <w:p w:rsidR="008939CB" w:rsidRDefault="008939CB" w:rsidP="008939CB">
      <w:pPr>
        <w:pStyle w:val="NoSpacing"/>
        <w:numPr>
          <w:ilvl w:val="0"/>
          <w:numId w:val="10"/>
        </w:numPr>
      </w:pPr>
      <w:r>
        <w:t>Meetings shall be called by the CRO and be held at a location specified by the CRO.</w:t>
      </w:r>
      <w:r>
        <w:br/>
      </w:r>
    </w:p>
    <w:p w:rsidR="008939CB" w:rsidRDefault="008939CB" w:rsidP="008939CB">
      <w:pPr>
        <w:pStyle w:val="NoSpacing"/>
        <w:numPr>
          <w:ilvl w:val="2"/>
          <w:numId w:val="10"/>
        </w:numPr>
      </w:pPr>
      <w:r>
        <w:t>For meetings held during the campaign period and voting days the CRO shall book space specifically for the Elections Governance Committee to hold meetings and all meetings shall be held in this space.</w:t>
      </w:r>
    </w:p>
    <w:p w:rsidR="008939CB" w:rsidRDefault="008939CB" w:rsidP="008939CB">
      <w:pPr>
        <w:pStyle w:val="NoSpacing"/>
        <w:numPr>
          <w:ilvl w:val="2"/>
          <w:numId w:val="10"/>
        </w:numPr>
      </w:pPr>
      <w:r>
        <w:t>For meetings held outside of the campaign period the CRO shall book space on a per meeting basis.</w:t>
      </w:r>
      <w:r>
        <w:br/>
      </w:r>
    </w:p>
    <w:p w:rsidR="008939CB" w:rsidRDefault="008939CB" w:rsidP="008939CB">
      <w:pPr>
        <w:pStyle w:val="NoSpacing"/>
        <w:numPr>
          <w:ilvl w:val="0"/>
          <w:numId w:val="10"/>
        </w:numPr>
      </w:pPr>
      <w:r>
        <w:t>The CRO shall give the following notice to the Elections Governance Committee members prior to a meeting of the Elections Governance Committee:</w:t>
      </w:r>
      <w:r>
        <w:br/>
      </w:r>
    </w:p>
    <w:p w:rsidR="008939CB" w:rsidRDefault="008939CB" w:rsidP="008939CB">
      <w:pPr>
        <w:pStyle w:val="NoSpacing"/>
        <w:numPr>
          <w:ilvl w:val="2"/>
          <w:numId w:val="10"/>
        </w:numPr>
      </w:pPr>
      <w:r>
        <w:t xml:space="preserve">During the campaign period and voting days the CRO shall give the members six (6) </w:t>
      </w:r>
      <w:proofErr w:type="spellStart"/>
      <w:r>
        <w:t>hours notice</w:t>
      </w:r>
      <w:proofErr w:type="spellEnd"/>
      <w:r>
        <w:t>.</w:t>
      </w:r>
    </w:p>
    <w:p w:rsidR="008939CB" w:rsidRDefault="008939CB" w:rsidP="008939CB">
      <w:pPr>
        <w:pStyle w:val="NoSpacing"/>
        <w:numPr>
          <w:ilvl w:val="2"/>
          <w:numId w:val="10"/>
        </w:numPr>
      </w:pPr>
      <w:r>
        <w:t xml:space="preserve">Outside of the campaign period the CRO shall give the members forty-eight (48) </w:t>
      </w:r>
      <w:proofErr w:type="spellStart"/>
      <w:r>
        <w:t>hours notice</w:t>
      </w:r>
      <w:proofErr w:type="spellEnd"/>
      <w:r>
        <w:t>.</w:t>
      </w:r>
      <w:r>
        <w:br/>
      </w:r>
    </w:p>
    <w:p w:rsidR="008939CB" w:rsidRDefault="008939CB" w:rsidP="008939CB">
      <w:pPr>
        <w:pStyle w:val="NoSpacing"/>
        <w:numPr>
          <w:ilvl w:val="0"/>
          <w:numId w:val="10"/>
        </w:numPr>
      </w:pPr>
      <w:r>
        <w:t>All meetings of the EGC shall be closed to members of the public unless specifically invited by the CRO.</w:t>
      </w:r>
      <w:r>
        <w:br/>
      </w:r>
    </w:p>
    <w:p w:rsidR="003B7D70" w:rsidRDefault="008939CB" w:rsidP="008939CB">
      <w:pPr>
        <w:pStyle w:val="NoSpacing"/>
        <w:numPr>
          <w:ilvl w:val="2"/>
          <w:numId w:val="10"/>
        </w:numPr>
      </w:pPr>
      <w:r>
        <w:t>The E</w:t>
      </w:r>
      <w:r w:rsidR="003B7D70">
        <w:t>GC shall produce reports and a record of decisions no later than forty-eight (48) hours following the end of the meeting and these reports shall be available to the public.</w:t>
      </w:r>
      <w:r w:rsidR="003B7D70">
        <w:br/>
      </w:r>
    </w:p>
    <w:p w:rsidR="003B7D70" w:rsidRDefault="003B7D70" w:rsidP="003B7D70">
      <w:pPr>
        <w:pStyle w:val="NoSpacing"/>
        <w:numPr>
          <w:ilvl w:val="0"/>
          <w:numId w:val="10"/>
        </w:numPr>
      </w:pPr>
      <w:r>
        <w:t>Quorum shall be a majority of the voting members of EGC.</w:t>
      </w:r>
      <w:r>
        <w:br/>
      </w:r>
    </w:p>
    <w:p w:rsidR="003B7D70" w:rsidRDefault="003B7D70" w:rsidP="003B7D70">
      <w:pPr>
        <w:pStyle w:val="NoSpacing"/>
        <w:numPr>
          <w:ilvl w:val="2"/>
          <w:numId w:val="10"/>
        </w:numPr>
      </w:pPr>
      <w:r>
        <w:t>Where the EGC fails to reach quorum, any items of discussion that require a decision shall be postponed to the following meeting.</w:t>
      </w:r>
    </w:p>
    <w:p w:rsidR="003B7D70" w:rsidRDefault="003B7D70" w:rsidP="003B7D70">
      <w:pPr>
        <w:pStyle w:val="NoSpacing"/>
        <w:numPr>
          <w:ilvl w:val="2"/>
          <w:numId w:val="10"/>
        </w:numPr>
      </w:pPr>
      <w:r>
        <w:t>Any meeting of the EGC that fails to preserve quorum shall be subject to section 4.4.1 above.</w:t>
      </w:r>
    </w:p>
    <w:p w:rsidR="003B7D70" w:rsidRDefault="003B7D70" w:rsidP="005D43B6">
      <w:pPr>
        <w:pStyle w:val="NoSpacing"/>
        <w:numPr>
          <w:ilvl w:val="2"/>
          <w:numId w:val="10"/>
        </w:numPr>
      </w:pPr>
      <w:r>
        <w:t>In the event that a meeting fails to reach quorum the CRO shall inform all invited guests of this occurrence as soon as reasonably possible.</w:t>
      </w:r>
      <w:r>
        <w:br/>
      </w:r>
    </w:p>
    <w:p w:rsidR="00461610" w:rsidRDefault="00461610" w:rsidP="00461610">
      <w:pPr>
        <w:pStyle w:val="NoSpacing"/>
      </w:pPr>
    </w:p>
    <w:p w:rsidR="00461610" w:rsidRDefault="00461610" w:rsidP="00461610">
      <w:pPr>
        <w:pStyle w:val="NoSpacing"/>
      </w:pPr>
    </w:p>
    <w:p w:rsidR="00461610" w:rsidRDefault="00461610" w:rsidP="00461610">
      <w:pPr>
        <w:pStyle w:val="NoSpacing"/>
      </w:pPr>
    </w:p>
    <w:p w:rsidR="003B7D70" w:rsidRDefault="003B7D70" w:rsidP="003B7D70">
      <w:pPr>
        <w:pStyle w:val="NoSpacing"/>
        <w:rPr>
          <w:b/>
        </w:rPr>
      </w:pPr>
      <w:r>
        <w:rPr>
          <w:b/>
        </w:rPr>
        <w:lastRenderedPageBreak/>
        <w:t>5. Voting</w:t>
      </w:r>
    </w:p>
    <w:p w:rsidR="003B7D70" w:rsidRDefault="003B7D70" w:rsidP="003B7D70">
      <w:pPr>
        <w:pStyle w:val="NoSpacing"/>
        <w:rPr>
          <w:b/>
        </w:rPr>
      </w:pPr>
    </w:p>
    <w:p w:rsidR="003B7D70" w:rsidRDefault="003B7D70" w:rsidP="003B7D70">
      <w:pPr>
        <w:pStyle w:val="NoSpacing"/>
        <w:numPr>
          <w:ilvl w:val="0"/>
          <w:numId w:val="11"/>
        </w:numPr>
      </w:pPr>
      <w:r>
        <w:t>Unless otherwise specified, each voting member shall cast one (1) vote on a given question.</w:t>
      </w:r>
      <w:r>
        <w:br/>
      </w:r>
    </w:p>
    <w:p w:rsidR="003B7D70" w:rsidRDefault="003B7D70" w:rsidP="003B7D70">
      <w:pPr>
        <w:pStyle w:val="NoSpacing"/>
        <w:numPr>
          <w:ilvl w:val="0"/>
          <w:numId w:val="11"/>
        </w:numPr>
      </w:pPr>
      <w:r>
        <w:t>All questions shall be decided by a simple majority except in the following circumstances. The following decisions shall require a Two-Thirds (⅔) vote in favour:</w:t>
      </w:r>
      <w:r>
        <w:br/>
      </w:r>
    </w:p>
    <w:p w:rsidR="003B7D70" w:rsidRDefault="003B7D70" w:rsidP="003B7D70">
      <w:pPr>
        <w:pStyle w:val="NoSpacing"/>
        <w:numPr>
          <w:ilvl w:val="2"/>
          <w:numId w:val="11"/>
        </w:numPr>
      </w:pPr>
      <w:r>
        <w:t>A decision to disqualify a candidate.</w:t>
      </w:r>
    </w:p>
    <w:p w:rsidR="003B7D70" w:rsidRDefault="00461610" w:rsidP="003B7D70">
      <w:pPr>
        <w:pStyle w:val="NoSpacing"/>
        <w:numPr>
          <w:ilvl w:val="2"/>
          <w:numId w:val="11"/>
        </w:numPr>
      </w:pPr>
      <w:r>
        <w:t>A decision to invalidate an election</w:t>
      </w:r>
      <w:r w:rsidR="003B7D70">
        <w:t>.</w:t>
      </w:r>
    </w:p>
    <w:p w:rsidR="003B7D70" w:rsidRDefault="003B7D70" w:rsidP="003B7D70">
      <w:pPr>
        <w:pStyle w:val="NoSpacing"/>
        <w:numPr>
          <w:ilvl w:val="2"/>
          <w:numId w:val="11"/>
        </w:numPr>
      </w:pPr>
      <w:r>
        <w:t xml:space="preserve">A decision to approve a series of regulations meant to supplement the rules contained in </w:t>
      </w:r>
      <w:r>
        <w:rPr>
          <w:b/>
          <w:u w:val="single"/>
        </w:rPr>
        <w:t>By-law #2</w:t>
      </w:r>
      <w:r>
        <w:t>, and;</w:t>
      </w:r>
    </w:p>
    <w:p w:rsidR="003B7D70" w:rsidRDefault="003B7D70" w:rsidP="003B7D70">
      <w:pPr>
        <w:pStyle w:val="NoSpacing"/>
        <w:numPr>
          <w:ilvl w:val="2"/>
          <w:numId w:val="11"/>
        </w:numPr>
      </w:pPr>
      <w:r>
        <w:t xml:space="preserve">A decision to modify the duration or nature of the elections calendar (i.e., campaign period, voting days, nomination period, etc.) insofar as such is permitted by </w:t>
      </w:r>
      <w:r>
        <w:rPr>
          <w:b/>
          <w:u w:val="single"/>
        </w:rPr>
        <w:t>By-law #2</w:t>
      </w:r>
      <w:r>
        <w:t>.</w:t>
      </w:r>
      <w:r>
        <w:br/>
      </w:r>
    </w:p>
    <w:p w:rsidR="003B7D70" w:rsidRDefault="003B7D70" w:rsidP="003B7D70">
      <w:pPr>
        <w:pStyle w:val="NoSpacing"/>
        <w:numPr>
          <w:ilvl w:val="0"/>
          <w:numId w:val="11"/>
        </w:numPr>
      </w:pPr>
      <w:r>
        <w:t>Unless a poll is called for a vote by a voting member, ever</w:t>
      </w:r>
      <w:r w:rsidR="00461610">
        <w:t>y</w:t>
      </w:r>
      <w:r>
        <w:t xml:space="preserve"> question shall be decided by a show of hands. Where a poll is called, the voting member shall specify the method of polling to be used, being either a roll call or secret ballot. The call for a poll may be withdrawn.</w:t>
      </w:r>
      <w:r>
        <w:br/>
      </w:r>
    </w:p>
    <w:p w:rsidR="003B7D70" w:rsidRDefault="003B7D70" w:rsidP="003B7D70">
      <w:pPr>
        <w:pStyle w:val="NoSpacing"/>
        <w:numPr>
          <w:ilvl w:val="0"/>
          <w:numId w:val="11"/>
        </w:numPr>
      </w:pPr>
      <w:r>
        <w:t xml:space="preserve">Unless a poll has been called for, a declaration by the CRO that a </w:t>
      </w:r>
      <w:r w:rsidR="00461610">
        <w:t xml:space="preserve">recorded </w:t>
      </w:r>
      <w:r>
        <w:t xml:space="preserve">resolution has been carried or not carried </w:t>
      </w:r>
      <w:r w:rsidR="00461610">
        <w:t>is sufficient, without proof of the number of votes in favour or against</w:t>
      </w:r>
      <w:r>
        <w:t>.</w:t>
      </w:r>
      <w:r>
        <w:br/>
      </w:r>
    </w:p>
    <w:p w:rsidR="003B7D70" w:rsidRDefault="003B7D70" w:rsidP="003B7D70">
      <w:pPr>
        <w:pStyle w:val="NoSpacing"/>
        <w:numPr>
          <w:ilvl w:val="0"/>
          <w:numId w:val="11"/>
        </w:numPr>
      </w:pPr>
      <w:r>
        <w:t xml:space="preserve">All votes cast shall </w:t>
      </w:r>
      <w:r w:rsidR="00461610">
        <w:t xml:space="preserve">be </w:t>
      </w:r>
      <w:r>
        <w:t>tabulated by the CRO or designate(s).</w:t>
      </w:r>
      <w:r>
        <w:br/>
      </w:r>
    </w:p>
    <w:p w:rsidR="003B7D70" w:rsidRDefault="003B7D70" w:rsidP="003B7D70">
      <w:pPr>
        <w:pStyle w:val="NoSpacing"/>
        <w:numPr>
          <w:ilvl w:val="0"/>
          <w:numId w:val="11"/>
        </w:numPr>
      </w:pPr>
      <w:r>
        <w:t>In the event of a tie, the CRO shall cast a vote to break the tie.</w:t>
      </w:r>
      <w:r>
        <w:br/>
      </w:r>
    </w:p>
    <w:p w:rsidR="003B7D70" w:rsidRDefault="003B7D70" w:rsidP="003B7D70">
      <w:pPr>
        <w:pStyle w:val="NoSpacing"/>
      </w:pPr>
      <w:r>
        <w:rPr>
          <w:b/>
        </w:rPr>
        <w:t>6. Minutes and Records</w:t>
      </w:r>
      <w:r>
        <w:br/>
      </w:r>
    </w:p>
    <w:p w:rsidR="003B7D70" w:rsidRDefault="003B7D70" w:rsidP="003B7D70">
      <w:pPr>
        <w:pStyle w:val="NoSpacing"/>
        <w:numPr>
          <w:ilvl w:val="0"/>
          <w:numId w:val="12"/>
        </w:numPr>
      </w:pPr>
      <w:r>
        <w:t>The Vice-Chair of E</w:t>
      </w:r>
      <w:r w:rsidR="00461610">
        <w:t>GC</w:t>
      </w:r>
      <w:r>
        <w:t>, or appointed designate, shall be tasked with recording the minutes of E</w:t>
      </w:r>
      <w:r w:rsidR="00461610">
        <w:t>GC</w:t>
      </w:r>
      <w:r>
        <w:t xml:space="preserve"> meetings.</w:t>
      </w:r>
      <w:r>
        <w:br/>
      </w:r>
    </w:p>
    <w:p w:rsidR="003B7D70" w:rsidRDefault="003B7D70" w:rsidP="003B7D70">
      <w:pPr>
        <w:pStyle w:val="NoSpacing"/>
        <w:numPr>
          <w:ilvl w:val="0"/>
          <w:numId w:val="12"/>
        </w:numPr>
      </w:pPr>
      <w:r>
        <w:t>A final draft of the minutes, and any or all reports, of a given meeting shall be produced no later than forty-eight (48) hours following the conclusion of the meeting.</w:t>
      </w:r>
      <w:r>
        <w:br/>
      </w:r>
    </w:p>
    <w:p w:rsidR="006362CB" w:rsidRDefault="003B7D70" w:rsidP="006362CB">
      <w:pPr>
        <w:pStyle w:val="NoSpacing"/>
        <w:numPr>
          <w:ilvl w:val="0"/>
          <w:numId w:val="12"/>
        </w:numPr>
      </w:pPr>
      <w:r>
        <w:t>The CRO, or DRO, and another member of the E</w:t>
      </w:r>
      <w:r w:rsidR="00461610">
        <w:t>GC</w:t>
      </w:r>
      <w:r>
        <w:t xml:space="preserve"> present at the meeting will </w:t>
      </w:r>
      <w:r w:rsidR="006362CB">
        <w:t>sign off on any minutes before they are made available to the public.</w:t>
      </w:r>
      <w:r w:rsidR="006362CB">
        <w:br/>
      </w:r>
    </w:p>
    <w:p w:rsidR="006362CB" w:rsidRDefault="006362CB" w:rsidP="006362CB">
      <w:pPr>
        <w:pStyle w:val="NoSpacing"/>
        <w:numPr>
          <w:ilvl w:val="0"/>
          <w:numId w:val="12"/>
        </w:numPr>
      </w:pPr>
      <w:r>
        <w:t>A copy of all finalized minutes and reports shall be sent to the Secretary-Treasurer immediately after they have been signed off on and the Secretary-Treasurer shall maintain a file with the minutes of all meetings of Elections Governance Committee.</w:t>
      </w:r>
      <w:r>
        <w:br/>
      </w:r>
    </w:p>
    <w:p w:rsidR="006362CB" w:rsidRDefault="006362CB" w:rsidP="006362CB">
      <w:pPr>
        <w:pStyle w:val="NoSpacing"/>
        <w:numPr>
          <w:ilvl w:val="2"/>
          <w:numId w:val="12"/>
        </w:numPr>
      </w:pPr>
      <w:r>
        <w:t xml:space="preserve">The Secretary-Treasurer shall also maintain an index of decisions made by the EGC for the purposes of establishing precedent and record-keeping. </w:t>
      </w:r>
    </w:p>
    <w:p w:rsidR="006362CB" w:rsidRDefault="006362CB" w:rsidP="006362CB">
      <w:pPr>
        <w:pStyle w:val="NoSpacing"/>
      </w:pPr>
    </w:p>
    <w:p w:rsidR="006362CB" w:rsidRDefault="006362CB" w:rsidP="006362CB">
      <w:pPr>
        <w:pStyle w:val="NoSpacing"/>
      </w:pPr>
    </w:p>
    <w:p w:rsidR="00461610" w:rsidRDefault="00461610" w:rsidP="006362CB">
      <w:pPr>
        <w:pStyle w:val="NoSpacing"/>
      </w:pPr>
    </w:p>
    <w:p w:rsidR="006362CB" w:rsidRDefault="006362CB" w:rsidP="006362CB">
      <w:pPr>
        <w:pStyle w:val="NoSpacing"/>
      </w:pPr>
    </w:p>
    <w:p w:rsidR="000D2F8B" w:rsidRDefault="006362CB" w:rsidP="000D2F8B">
      <w:pPr>
        <w:pStyle w:val="NoSpacing"/>
        <w:rPr>
          <w:b/>
        </w:rPr>
      </w:pPr>
      <w:r>
        <w:rPr>
          <w:b/>
        </w:rPr>
        <w:lastRenderedPageBreak/>
        <w:t>7. Context and Enactment</w:t>
      </w:r>
    </w:p>
    <w:p w:rsidR="006362CB" w:rsidRDefault="006362CB" w:rsidP="000D2F8B">
      <w:pPr>
        <w:pStyle w:val="NoSpacing"/>
        <w:rPr>
          <w:b/>
        </w:rPr>
      </w:pPr>
    </w:p>
    <w:p w:rsidR="006362CB" w:rsidRDefault="006362CB" w:rsidP="006362CB">
      <w:pPr>
        <w:pStyle w:val="NoSpacing"/>
        <w:numPr>
          <w:ilvl w:val="0"/>
          <w:numId w:val="13"/>
        </w:numPr>
      </w:pPr>
      <w:r>
        <w:t>Documents Repealed – Elections Committee Terms of Reference</w:t>
      </w:r>
    </w:p>
    <w:p w:rsidR="006362CB" w:rsidRDefault="006362CB" w:rsidP="006362CB">
      <w:pPr>
        <w:pStyle w:val="NoSpacing"/>
        <w:numPr>
          <w:ilvl w:val="0"/>
          <w:numId w:val="13"/>
        </w:numPr>
      </w:pPr>
      <w:r>
        <w:t>Supporting/Related Documents – By-law #1, By-law #2, Elections Governance Committee Campaign Finances Procedure, Elections Governance Committee Violations Procedure</w:t>
      </w:r>
    </w:p>
    <w:p w:rsidR="006362CB" w:rsidRDefault="006362CB" w:rsidP="006362CB">
      <w:pPr>
        <w:pStyle w:val="NoSpacing"/>
        <w:numPr>
          <w:ilvl w:val="0"/>
          <w:numId w:val="13"/>
        </w:numPr>
      </w:pPr>
      <w:r>
        <w:t xml:space="preserve">Date Passed – </w:t>
      </w:r>
      <w:r w:rsidR="00081962">
        <w:t>25 November 2015</w:t>
      </w:r>
      <w:bookmarkStart w:id="0" w:name="_GoBack"/>
      <w:bookmarkEnd w:id="0"/>
    </w:p>
    <w:p w:rsidR="006362CB" w:rsidRDefault="006362CB" w:rsidP="006362CB">
      <w:pPr>
        <w:pStyle w:val="NoSpacing"/>
        <w:numPr>
          <w:ilvl w:val="0"/>
          <w:numId w:val="13"/>
        </w:numPr>
      </w:pPr>
      <w:r>
        <w:t>Previous Amendments – N/A</w:t>
      </w:r>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01" w:rsidRDefault="00952E01" w:rsidP="000D2F8B">
      <w:pPr>
        <w:spacing w:after="0" w:line="240" w:lineRule="auto"/>
      </w:pPr>
      <w:r>
        <w:separator/>
      </w:r>
    </w:p>
  </w:endnote>
  <w:endnote w:type="continuationSeparator" w:id="0">
    <w:p w:rsidR="00952E01" w:rsidRDefault="00952E01"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6362CB">
            <w:pPr>
              <w:pStyle w:val="Footer"/>
              <w:jc w:val="center"/>
            </w:pPr>
            <w:r>
              <w:t xml:space="preserve">Elections Governance Committee Terms of Reference  </w:t>
            </w:r>
            <w:r>
              <w:tab/>
            </w:r>
            <w:r w:rsidR="000D2F8B" w:rsidRPr="00102776">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4326E3">
              <w:rPr>
                <w:bCs/>
                <w:noProof/>
              </w:rPr>
              <w:t>3</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4326E3">
              <w:rPr>
                <w:bCs/>
                <w:noProof/>
              </w:rPr>
              <w:t>4</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01" w:rsidRDefault="00952E01" w:rsidP="000D2F8B">
      <w:pPr>
        <w:spacing w:after="0" w:line="240" w:lineRule="auto"/>
      </w:pPr>
      <w:r>
        <w:separator/>
      </w:r>
    </w:p>
  </w:footnote>
  <w:footnote w:type="continuationSeparator" w:id="0">
    <w:p w:rsidR="00952E01" w:rsidRDefault="00952E01"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CA7B8B"/>
    <w:multiLevelType w:val="hybridMultilevel"/>
    <w:tmpl w:val="AD2E2C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1E0F1B"/>
    <w:multiLevelType w:val="hybridMultilevel"/>
    <w:tmpl w:val="59F0C2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A6030D"/>
    <w:multiLevelType w:val="hybridMultilevel"/>
    <w:tmpl w:val="54607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E43BBE"/>
    <w:multiLevelType w:val="hybridMultilevel"/>
    <w:tmpl w:val="6A2C8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CB4FE2"/>
    <w:multiLevelType w:val="hybridMultilevel"/>
    <w:tmpl w:val="C58C05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43072B"/>
    <w:multiLevelType w:val="hybridMultilevel"/>
    <w:tmpl w:val="35601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AD75A4"/>
    <w:multiLevelType w:val="hybridMultilevel"/>
    <w:tmpl w:val="DB8630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8"/>
  </w:num>
  <w:num w:numId="6">
    <w:abstractNumId w:val="6"/>
  </w:num>
  <w:num w:numId="7">
    <w:abstractNumId w:val="11"/>
  </w:num>
  <w:num w:numId="8">
    <w:abstractNumId w:val="7"/>
  </w:num>
  <w:num w:numId="9">
    <w:abstractNumId w:val="10"/>
  </w:num>
  <w:num w:numId="10">
    <w:abstractNumId w:val="1"/>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51579"/>
    <w:rsid w:val="00081962"/>
    <w:rsid w:val="000D2F8B"/>
    <w:rsid w:val="00102776"/>
    <w:rsid w:val="00236072"/>
    <w:rsid w:val="00242B9C"/>
    <w:rsid w:val="003B7D70"/>
    <w:rsid w:val="003D7537"/>
    <w:rsid w:val="003E0C67"/>
    <w:rsid w:val="004326E3"/>
    <w:rsid w:val="00461610"/>
    <w:rsid w:val="00471082"/>
    <w:rsid w:val="005E39A7"/>
    <w:rsid w:val="006362CB"/>
    <w:rsid w:val="007F0EF7"/>
    <w:rsid w:val="008939CB"/>
    <w:rsid w:val="00952E01"/>
    <w:rsid w:val="009A286A"/>
    <w:rsid w:val="00B11B8F"/>
    <w:rsid w:val="00BE55C1"/>
    <w:rsid w:val="00C47F5C"/>
    <w:rsid w:val="00CC7BA2"/>
    <w:rsid w:val="00D06027"/>
    <w:rsid w:val="00DC3473"/>
    <w:rsid w:val="00E47769"/>
    <w:rsid w:val="00E947D7"/>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3</cp:revision>
  <cp:lastPrinted>2015-12-02T22:26:00Z</cp:lastPrinted>
  <dcterms:created xsi:type="dcterms:W3CDTF">2015-12-02T22:26:00Z</dcterms:created>
  <dcterms:modified xsi:type="dcterms:W3CDTF">2015-12-02T22:26:00Z</dcterms:modified>
</cp:coreProperties>
</file>