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1259" w:rsidRDefault="00725905">
      <w:pPr>
        <w:jc w:val="center"/>
      </w:pPr>
      <w:bookmarkStart w:id="0" w:name="_GoBack"/>
      <w:bookmarkEnd w:id="0"/>
      <w:r>
        <w:rPr>
          <w:noProof/>
        </w:rPr>
        <w:drawing>
          <wp:inline distT="0" distB="0" distL="0" distR="0">
            <wp:extent cx="1437548" cy="143754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37548" cy="1437548"/>
                    </a:xfrm>
                    <a:prstGeom prst="rect">
                      <a:avLst/>
                    </a:prstGeom>
                    <a:ln/>
                  </pic:spPr>
                </pic:pic>
              </a:graphicData>
            </a:graphic>
          </wp:inline>
        </w:drawing>
      </w:r>
    </w:p>
    <w:p w:rsidR="00071259" w:rsidRDefault="00725905">
      <w:pPr>
        <w:jc w:val="center"/>
      </w:pPr>
      <w:r>
        <w:rPr>
          <w:rFonts w:ascii="Helvetica Neue" w:eastAsia="Helvetica Neue" w:hAnsi="Helvetica Neue" w:cs="Helvetica Neue"/>
          <w:b/>
        </w:rPr>
        <w:t>University Students’ Council Standing Policy</w:t>
      </w:r>
    </w:p>
    <w:tbl>
      <w:tblPr>
        <w:tblStyle w:val="a"/>
        <w:tblW w:w="4961"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481"/>
      </w:tblGrid>
      <w:tr w:rsidR="00071259">
        <w:tc>
          <w:tcPr>
            <w:tcW w:w="2480" w:type="dxa"/>
          </w:tcPr>
          <w:p w:rsidR="00071259" w:rsidRDefault="00725905">
            <w:pPr>
              <w:spacing w:line="276" w:lineRule="auto"/>
              <w:jc w:val="center"/>
            </w:pPr>
            <w:r>
              <w:rPr>
                <w:rFonts w:ascii="Helvetica Neue" w:eastAsia="Helvetica Neue" w:hAnsi="Helvetica Neue" w:cs="Helvetica Neue"/>
                <w:b/>
              </w:rPr>
              <w:t>Fall Reading Break</w:t>
            </w:r>
          </w:p>
        </w:tc>
        <w:tc>
          <w:tcPr>
            <w:tcW w:w="2481" w:type="dxa"/>
          </w:tcPr>
          <w:p w:rsidR="00071259" w:rsidRDefault="00725905">
            <w:pPr>
              <w:spacing w:line="276" w:lineRule="auto"/>
              <w:jc w:val="center"/>
            </w:pPr>
            <w:r>
              <w:rPr>
                <w:rFonts w:ascii="Helvetica Neue" w:eastAsia="Helvetica Neue" w:hAnsi="Helvetica Neue" w:cs="Helvetica Neue"/>
                <w:b/>
              </w:rPr>
              <w:t>SP 12.2(ii)</w:t>
            </w:r>
          </w:p>
        </w:tc>
      </w:tr>
    </w:tbl>
    <w:p w:rsidR="00071259" w:rsidRDefault="00071259"/>
    <w:tbl>
      <w:tblPr>
        <w:tblStyle w:val="a0"/>
        <w:tblW w:w="4961" w:type="dxa"/>
        <w:tblInd w:w="2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tblGrid>
      <w:tr w:rsidR="00071259">
        <w:tc>
          <w:tcPr>
            <w:tcW w:w="4961" w:type="dxa"/>
          </w:tcPr>
          <w:p w:rsidR="00071259" w:rsidRDefault="00725905">
            <w:pPr>
              <w:spacing w:line="276" w:lineRule="auto"/>
              <w:jc w:val="center"/>
            </w:pPr>
            <w:r>
              <w:rPr>
                <w:rFonts w:ascii="Helvetica Neue" w:eastAsia="Helvetica Neue" w:hAnsi="Helvetica Neue" w:cs="Helvetica Neue"/>
                <w:b/>
              </w:rPr>
              <w:t>Legislative History</w:t>
            </w:r>
          </w:p>
        </w:tc>
      </w:tr>
      <w:tr w:rsidR="00071259">
        <w:tc>
          <w:tcPr>
            <w:tcW w:w="4961" w:type="dxa"/>
          </w:tcPr>
          <w:p w:rsidR="00071259" w:rsidRDefault="00725905">
            <w:pPr>
              <w:spacing w:line="276" w:lineRule="auto"/>
              <w:jc w:val="center"/>
            </w:pPr>
            <w:r>
              <w:rPr>
                <w:rFonts w:ascii="Helvetica Neue" w:eastAsia="Helvetica Neue" w:hAnsi="Helvetica Neue" w:cs="Helvetica Neue"/>
              </w:rPr>
              <w:t>Approved by Council in October 2012</w:t>
            </w:r>
          </w:p>
        </w:tc>
      </w:tr>
      <w:tr w:rsidR="00071259">
        <w:tc>
          <w:tcPr>
            <w:tcW w:w="4961" w:type="dxa"/>
          </w:tcPr>
          <w:p w:rsidR="00071259" w:rsidRDefault="00725905">
            <w:pPr>
              <w:spacing w:line="276" w:lineRule="auto"/>
              <w:jc w:val="center"/>
            </w:pPr>
            <w:r>
              <w:rPr>
                <w:rFonts w:ascii="Helvetica Neue" w:eastAsia="Helvetica Neue" w:hAnsi="Helvetica Neue" w:cs="Helvetica Neue"/>
              </w:rPr>
              <w:t>To be reviewed by Council in its 2015-2016 sitting</w:t>
            </w:r>
          </w:p>
        </w:tc>
      </w:tr>
      <w:tr w:rsidR="00071259">
        <w:tc>
          <w:tcPr>
            <w:tcW w:w="4961" w:type="dxa"/>
          </w:tcPr>
          <w:p w:rsidR="00071259" w:rsidRDefault="00725905">
            <w:pPr>
              <w:jc w:val="center"/>
            </w:pPr>
            <w:r>
              <w:rPr>
                <w:rFonts w:ascii="Helvetica Neue" w:eastAsia="Helvetica Neue" w:hAnsi="Helvetica Neue" w:cs="Helvetica Neue"/>
              </w:rPr>
              <w:t>Approved by Council in January 2016 (tentative)</w:t>
            </w:r>
          </w:p>
        </w:tc>
      </w:tr>
      <w:tr w:rsidR="00071259">
        <w:tc>
          <w:tcPr>
            <w:tcW w:w="4961" w:type="dxa"/>
          </w:tcPr>
          <w:p w:rsidR="00071259" w:rsidRDefault="00725905">
            <w:pPr>
              <w:jc w:val="center"/>
            </w:pPr>
            <w:r>
              <w:rPr>
                <w:rFonts w:ascii="Helvetica Neue" w:eastAsia="Helvetica Neue" w:hAnsi="Helvetica Neue" w:cs="Helvetica Neue"/>
              </w:rPr>
              <w:t>To be reviewed by Council in its 2019-2020 sitting</w:t>
            </w:r>
          </w:p>
        </w:tc>
      </w:tr>
    </w:tbl>
    <w:p w:rsidR="00071259" w:rsidRDefault="00071259"/>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71259">
        <w:tc>
          <w:tcPr>
            <w:tcW w:w="4788" w:type="dxa"/>
          </w:tcPr>
          <w:p w:rsidR="00071259" w:rsidRDefault="00725905">
            <w:pPr>
              <w:spacing w:line="276" w:lineRule="auto"/>
              <w:jc w:val="center"/>
            </w:pPr>
            <w:r>
              <w:rPr>
                <w:rFonts w:ascii="Helvetica Neue" w:eastAsia="Helvetica Neue" w:hAnsi="Helvetica Neue" w:cs="Helvetica Neue"/>
                <w:b/>
              </w:rPr>
              <w:t>Original Author(s)</w:t>
            </w:r>
          </w:p>
        </w:tc>
        <w:tc>
          <w:tcPr>
            <w:tcW w:w="4788" w:type="dxa"/>
          </w:tcPr>
          <w:p w:rsidR="00071259" w:rsidRDefault="00725905">
            <w:pPr>
              <w:spacing w:line="276" w:lineRule="auto"/>
              <w:jc w:val="center"/>
            </w:pPr>
            <w:r>
              <w:rPr>
                <w:rFonts w:ascii="Helvetica Neue" w:eastAsia="Helvetica Neue" w:hAnsi="Helvetica Neue" w:cs="Helvetica Neue"/>
                <w:b/>
              </w:rPr>
              <w:t>Author(s) of Renewed Paper</w:t>
            </w:r>
          </w:p>
        </w:tc>
      </w:tr>
      <w:tr w:rsidR="00071259">
        <w:tc>
          <w:tcPr>
            <w:tcW w:w="4788" w:type="dxa"/>
          </w:tcPr>
          <w:p w:rsidR="00071259" w:rsidRDefault="00725905">
            <w:pPr>
              <w:spacing w:line="276" w:lineRule="auto"/>
              <w:jc w:val="center"/>
            </w:pPr>
            <w:r>
              <w:rPr>
                <w:rFonts w:ascii="Helvetica Neue" w:eastAsia="Helvetica Neue" w:hAnsi="Helvetica Neue" w:cs="Helvetica Neue"/>
              </w:rPr>
              <w:t>Caitlin Harvey &amp; Ashley McGuire</w:t>
            </w:r>
            <w:r>
              <w:rPr>
                <w:rFonts w:ascii="Helvetica Neue" w:eastAsia="Helvetica Neue" w:hAnsi="Helvetica Neue" w:cs="Helvetica Neue"/>
              </w:rPr>
              <w:br/>
              <w:t>Student Senators</w:t>
            </w:r>
            <w:r>
              <w:rPr>
                <w:rFonts w:ascii="Helvetica Neue" w:eastAsia="Helvetica Neue" w:hAnsi="Helvetica Neue" w:cs="Helvetica Neue"/>
              </w:rPr>
              <w:br/>
              <w:t>University Students’ Council</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i/>
              </w:rPr>
              <w:t>with files from</w:t>
            </w:r>
            <w:r>
              <w:rPr>
                <w:rFonts w:ascii="Helvetica Neue" w:eastAsia="Helvetica Neue" w:hAnsi="Helvetica Neue" w:cs="Helvetica Neue"/>
              </w:rPr>
              <w:br/>
              <w:t xml:space="preserve">Mandy van </w:t>
            </w:r>
            <w:proofErr w:type="spellStart"/>
            <w:r>
              <w:rPr>
                <w:rFonts w:ascii="Helvetica Neue" w:eastAsia="Helvetica Neue" w:hAnsi="Helvetica Neue" w:cs="Helvetica Neue"/>
              </w:rPr>
              <w:t>Waes</w:t>
            </w:r>
            <w:proofErr w:type="spellEnd"/>
            <w:r>
              <w:rPr>
                <w:rFonts w:ascii="Helvetica Neue" w:eastAsia="Helvetica Neue" w:hAnsi="Helvetica Neue" w:cs="Helvetica Neue"/>
              </w:rPr>
              <w:br/>
              <w:t>Research and Policy Intern</w:t>
            </w:r>
            <w:r>
              <w:rPr>
                <w:rFonts w:ascii="Helvetica Neue" w:eastAsia="Helvetica Neue" w:hAnsi="Helvetica Neue" w:cs="Helvetica Neue"/>
              </w:rPr>
              <w:br/>
              <w:t>University Students</w:t>
            </w:r>
            <w:r>
              <w:rPr>
                <w:rFonts w:ascii="Helvetica Neue" w:eastAsia="Helvetica Neue" w:hAnsi="Helvetica Neue" w:cs="Helvetica Neue"/>
              </w:rPr>
              <w:t>’ Council</w:t>
            </w:r>
          </w:p>
        </w:tc>
        <w:tc>
          <w:tcPr>
            <w:tcW w:w="4788" w:type="dxa"/>
          </w:tcPr>
          <w:p w:rsidR="00071259" w:rsidRDefault="00725905">
            <w:pPr>
              <w:spacing w:line="276" w:lineRule="auto"/>
              <w:jc w:val="center"/>
            </w:pPr>
            <w:r>
              <w:rPr>
                <w:rFonts w:ascii="Helvetica Neue" w:eastAsia="Helvetica Neue" w:hAnsi="Helvetica Neue" w:cs="Helvetica Neue"/>
              </w:rPr>
              <w:t xml:space="preserve">Alex </w:t>
            </w:r>
            <w:proofErr w:type="spellStart"/>
            <w:r>
              <w:rPr>
                <w:rFonts w:ascii="Helvetica Neue" w:eastAsia="Helvetica Neue" w:hAnsi="Helvetica Neue" w:cs="Helvetica Neue"/>
              </w:rPr>
              <w:t>Benac</w:t>
            </w:r>
            <w:proofErr w:type="spellEnd"/>
            <w:r>
              <w:rPr>
                <w:rFonts w:ascii="Helvetica Neue" w:eastAsia="Helvetica Neue" w:hAnsi="Helvetica Neue" w:cs="Helvetica Neue"/>
              </w:rPr>
              <w:br/>
              <w:t>Vice-President Internal</w:t>
            </w:r>
            <w:r>
              <w:rPr>
                <w:rFonts w:ascii="Helvetica Neue" w:eastAsia="Helvetica Neue" w:hAnsi="Helvetica Neue" w:cs="Helvetica Neue"/>
              </w:rPr>
              <w:br/>
              <w:t>University Students’ Council</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i/>
              </w:rPr>
              <w:t>with files from</w:t>
            </w:r>
            <w:r>
              <w:rPr>
                <w:rFonts w:ascii="Helvetica Neue" w:eastAsia="Helvetica Neue" w:hAnsi="Helvetica Neue" w:cs="Helvetica Neue"/>
              </w:rPr>
              <w:br/>
            </w:r>
            <w:proofErr w:type="spellStart"/>
            <w:r>
              <w:rPr>
                <w:rFonts w:ascii="Helvetica Neue" w:eastAsia="Helvetica Neue" w:hAnsi="Helvetica Neue" w:cs="Helvetica Neue"/>
              </w:rPr>
              <w:t>Sanasi</w:t>
            </w:r>
            <w:proofErr w:type="spellEnd"/>
            <w:r>
              <w:rPr>
                <w:rFonts w:ascii="Helvetica Neue" w:eastAsia="Helvetica Neue" w:hAnsi="Helvetica Neue" w:cs="Helvetica Neue"/>
              </w:rPr>
              <w:t xml:space="preserve"> Jayawardena</w:t>
            </w:r>
            <w:r>
              <w:rPr>
                <w:rFonts w:ascii="Helvetica Neue" w:eastAsia="Helvetica Neue" w:hAnsi="Helvetica Neue" w:cs="Helvetica Neue"/>
              </w:rPr>
              <w:br/>
              <w:t>Associate Vice-President, Campus Affairs</w:t>
            </w:r>
            <w:r>
              <w:rPr>
                <w:rFonts w:ascii="Helvetica Neue" w:eastAsia="Helvetica Neue" w:hAnsi="Helvetica Neue" w:cs="Helvetica Neue"/>
              </w:rPr>
              <w:br/>
              <w:t xml:space="preserve">University Students’ Council </w:t>
            </w:r>
          </w:p>
        </w:tc>
      </w:tr>
    </w:tbl>
    <w:p w:rsidR="00071259" w:rsidRDefault="00071259"/>
    <w:p w:rsidR="00071259" w:rsidRDefault="00071259"/>
    <w:p w:rsidR="00071259" w:rsidRDefault="00725905">
      <w:r>
        <w:br w:type="page"/>
      </w:r>
    </w:p>
    <w:p w:rsidR="00071259" w:rsidRDefault="00071259"/>
    <w:p w:rsidR="00071259" w:rsidRDefault="00725905">
      <w:pPr>
        <w:keepNext/>
        <w:keepLines/>
        <w:spacing w:before="480" w:after="0"/>
      </w:pPr>
      <w:r>
        <w:rPr>
          <w:rFonts w:ascii="Helvetica Neue" w:eastAsia="Helvetica Neue" w:hAnsi="Helvetica Neue" w:cs="Helvetica Neue"/>
          <w:b/>
          <w:color w:val="366091"/>
          <w:sz w:val="32"/>
          <w:szCs w:val="32"/>
        </w:rPr>
        <w:t>Contents</w:t>
      </w:r>
    </w:p>
    <w:p w:rsidR="00071259" w:rsidRDefault="00725905">
      <w:pPr>
        <w:tabs>
          <w:tab w:val="right" w:pos="9350"/>
        </w:tabs>
        <w:spacing w:after="100"/>
        <w:ind w:left="220"/>
      </w:pPr>
      <w:hyperlink w:anchor="h.gjdgxs">
        <w:r>
          <w:rPr>
            <w:rFonts w:ascii="Helvetica Neue" w:eastAsia="Helvetica Neue" w:hAnsi="Helvetica Neue" w:cs="Helvetica Neue"/>
            <w:color w:val="0000FF"/>
            <w:u w:val="single"/>
          </w:rPr>
          <w:t>Introduction and Overview</w:t>
        </w:r>
      </w:hyperlink>
      <w:hyperlink w:anchor="h.gjdgxs">
        <w:r>
          <w:tab/>
        </w:r>
      </w:hyperlink>
    </w:p>
    <w:p w:rsidR="00071259" w:rsidRDefault="00725905">
      <w:pPr>
        <w:tabs>
          <w:tab w:val="right" w:pos="9350"/>
        </w:tabs>
        <w:spacing w:after="100"/>
        <w:ind w:left="220"/>
      </w:pPr>
      <w:hyperlink w:anchor="h.30j0zll">
        <w:r>
          <w:rPr>
            <w:rFonts w:ascii="Helvetica Neue" w:eastAsia="Helvetica Neue" w:hAnsi="Helvetica Neue" w:cs="Helvetica Neue"/>
            <w:color w:val="0000FF"/>
            <w:u w:val="single"/>
          </w:rPr>
          <w:t>Recommendation 1</w:t>
        </w:r>
      </w:hyperlink>
      <w:hyperlink w:anchor="h.30j0zll">
        <w:r>
          <w:tab/>
        </w:r>
      </w:hyperlink>
    </w:p>
    <w:p w:rsidR="00071259" w:rsidRDefault="00725905">
      <w:pPr>
        <w:tabs>
          <w:tab w:val="right" w:pos="9350"/>
        </w:tabs>
        <w:spacing w:after="100"/>
        <w:ind w:left="220"/>
      </w:pPr>
      <w:hyperlink w:anchor="h.1fob9te">
        <w:r>
          <w:rPr>
            <w:rFonts w:ascii="Helvetica Neue" w:eastAsia="Helvetica Neue" w:hAnsi="Helvetica Neue" w:cs="Helvetica Neue"/>
            <w:color w:val="0000FF"/>
            <w:u w:val="single"/>
          </w:rPr>
          <w:t>Recommendation 2</w:t>
        </w:r>
      </w:hyperlink>
      <w:hyperlink w:anchor="h.1fob9te">
        <w:r>
          <w:tab/>
        </w:r>
      </w:hyperlink>
    </w:p>
    <w:p w:rsidR="00071259" w:rsidRDefault="00725905">
      <w:pPr>
        <w:tabs>
          <w:tab w:val="right" w:pos="9350"/>
        </w:tabs>
        <w:spacing w:after="100"/>
        <w:ind w:left="220"/>
      </w:pPr>
      <w:hyperlink w:anchor="h.3znysh7">
        <w:r>
          <w:rPr>
            <w:rFonts w:ascii="Helvetica Neue" w:eastAsia="Helvetica Neue" w:hAnsi="Helvetica Neue" w:cs="Helvetica Neue"/>
            <w:color w:val="0000FF"/>
            <w:u w:val="single"/>
          </w:rPr>
          <w:t>Appendix 1: Fall Reading Week lengths and dates at large Canadian universities</w:t>
        </w:r>
      </w:hyperlink>
      <w:hyperlink w:anchor="h.3znysh7">
        <w:r>
          <w:tab/>
        </w:r>
      </w:hyperlink>
    </w:p>
    <w:p w:rsidR="00071259" w:rsidRDefault="00725905">
      <w:hyperlink r:id="rId8" w:anchor="_Toc439955871"/>
    </w:p>
    <w:p w:rsidR="00071259" w:rsidRDefault="00725905">
      <w:hyperlink r:id="rId9" w:anchor="_Toc439955871"/>
    </w:p>
    <w:p w:rsidR="00071259" w:rsidRDefault="00725905">
      <w:r>
        <w:br w:type="page"/>
      </w:r>
    </w:p>
    <w:p w:rsidR="00071259" w:rsidRDefault="00725905">
      <w:hyperlink r:id="rId10" w:anchor="_Toc439955871"/>
    </w:p>
    <w:p w:rsidR="00071259" w:rsidRDefault="00725905">
      <w:pPr>
        <w:pStyle w:val="Heading2"/>
      </w:pPr>
      <w:bookmarkStart w:id="1" w:name="h.gjdgxs" w:colFirst="0" w:colLast="0"/>
      <w:bookmarkEnd w:id="1"/>
      <w:r>
        <w:rPr>
          <w:rFonts w:ascii="Helvetica Neue" w:eastAsia="Helvetica Neue" w:hAnsi="Helvetica Neue" w:cs="Helvetica Neue"/>
          <w:sz w:val="32"/>
          <w:szCs w:val="32"/>
        </w:rPr>
        <w:t>I</w:t>
      </w:r>
      <w:r>
        <w:rPr>
          <w:rFonts w:ascii="Helvetica Neue" w:eastAsia="Helvetica Neue" w:hAnsi="Helvetica Neue" w:cs="Helvetica Neue"/>
          <w:sz w:val="32"/>
          <w:szCs w:val="32"/>
        </w:rPr>
        <w:t>ntroduction and Overview</w:t>
      </w:r>
    </w:p>
    <w:p w:rsidR="00071259" w:rsidRDefault="00725905">
      <w:r>
        <w:rPr>
          <w:rFonts w:ascii="Helvetica Neue" w:eastAsia="Helvetica Neue" w:hAnsi="Helvetica Neue" w:cs="Helvetica Neue"/>
        </w:rPr>
        <w:br/>
      </w:r>
    </w:p>
    <w:p w:rsidR="00071259" w:rsidRDefault="00725905">
      <w:r>
        <w:rPr>
          <w:rFonts w:ascii="Helvetica Neue" w:eastAsia="Helvetica Neue" w:hAnsi="Helvetica Neue" w:cs="Helvetica Neue"/>
          <w:sz w:val="20"/>
          <w:szCs w:val="20"/>
        </w:rPr>
        <w:t>Between 2011 and 2014, use of fall reading breaks to provide a strategically placed break from the rigors of academics was widely embraced by post-secondary institutions across Ontario and other parts of Canada.</w:t>
      </w:r>
      <w:r>
        <w:rPr>
          <w:rFonts w:ascii="Helvetica Neue" w:eastAsia="Helvetica Neue" w:hAnsi="Helvetica Neue" w:cs="Helvetica Neue"/>
          <w:sz w:val="20"/>
          <w:szCs w:val="20"/>
          <w:vertAlign w:val="superscript"/>
        </w:rPr>
        <w:footnoteReference w:id="1"/>
      </w:r>
      <w:r>
        <w:rPr>
          <w:rFonts w:ascii="Helvetica Neue" w:eastAsia="Helvetica Neue" w:hAnsi="Helvetica Neue" w:cs="Helvetica Neue"/>
          <w:sz w:val="20"/>
          <w:szCs w:val="20"/>
        </w:rPr>
        <w:t xml:space="preserve"> By the time the </w:t>
      </w:r>
      <w:r>
        <w:rPr>
          <w:rFonts w:ascii="Helvetica Neue" w:eastAsia="Helvetica Neue" w:hAnsi="Helvetica Neue" w:cs="Helvetica Neue"/>
          <w:sz w:val="20"/>
          <w:szCs w:val="20"/>
        </w:rPr>
        <w:t xml:space="preserve">University of Waterloo issued a report on the matter in mid-2014, the majority of Ontario universities had implemented a fall reading break. Of those schools, and of schools studied for the purpose of writing this paper, the number of schools scheduling a </w:t>
      </w:r>
      <w:r>
        <w:rPr>
          <w:rFonts w:ascii="Helvetica Neue" w:eastAsia="Helvetica Neue" w:hAnsi="Helvetica Neue" w:cs="Helvetica Neue"/>
          <w:sz w:val="20"/>
          <w:szCs w:val="20"/>
        </w:rPr>
        <w:t>week-long, as opposed to two-day long break accounts for a majority (see Appendix 1).</w:t>
      </w:r>
    </w:p>
    <w:p w:rsidR="00071259" w:rsidRDefault="00725905">
      <w:r>
        <w:rPr>
          <w:rFonts w:ascii="Helvetica Neue" w:eastAsia="Helvetica Neue" w:hAnsi="Helvetica Neue" w:cs="Helvetica Neue"/>
          <w:sz w:val="20"/>
          <w:szCs w:val="20"/>
        </w:rPr>
        <w:t>Western University’s Senate gave its approval for the inception of the school’s first fall reading break in November of 2012, with the break appearing on the academic cal</w:t>
      </w:r>
      <w:r>
        <w:rPr>
          <w:rFonts w:ascii="Helvetica Neue" w:eastAsia="Helvetica Neue" w:hAnsi="Helvetica Neue" w:cs="Helvetica Neue"/>
          <w:sz w:val="20"/>
          <w:szCs w:val="20"/>
        </w:rPr>
        <w:t>endar beginning in October 2013.</w:t>
      </w:r>
      <w:r>
        <w:rPr>
          <w:rFonts w:ascii="Helvetica Neue" w:eastAsia="Helvetica Neue" w:hAnsi="Helvetica Neue" w:cs="Helvetica Neue"/>
          <w:sz w:val="20"/>
          <w:szCs w:val="20"/>
          <w:vertAlign w:val="superscript"/>
        </w:rPr>
        <w:footnoteReference w:id="2"/>
      </w:r>
      <w:r>
        <w:rPr>
          <w:rFonts w:ascii="Helvetica Neue" w:eastAsia="Helvetica Neue" w:hAnsi="Helvetica Neue" w:cs="Helvetica Neue"/>
          <w:sz w:val="20"/>
          <w:szCs w:val="20"/>
        </w:rPr>
        <w:t xml:space="preserve"> The University Students’ Council, and in particular the student senators of the day, played an integral role in the break’s inception, after almost ten years of advocacy on its behalf.</w:t>
      </w:r>
    </w:p>
    <w:p w:rsidR="00071259" w:rsidRDefault="00725905">
      <w:r>
        <w:rPr>
          <w:rFonts w:ascii="Helvetica Neue" w:eastAsia="Helvetica Neue" w:hAnsi="Helvetica Neue" w:cs="Helvetica Neue"/>
          <w:sz w:val="20"/>
          <w:szCs w:val="20"/>
        </w:rPr>
        <w:t>Now, with a fall reading break in pla</w:t>
      </w:r>
      <w:r>
        <w:rPr>
          <w:rFonts w:ascii="Helvetica Neue" w:eastAsia="Helvetica Neue" w:hAnsi="Helvetica Neue" w:cs="Helvetica Neue"/>
          <w:sz w:val="20"/>
          <w:szCs w:val="20"/>
        </w:rPr>
        <w:t>ce for the last two week days of October, students have expressed a desire for a break that is longer, more flexible, and timelier. The University Students’ Council is committed to furthering student interests in this area, and in that spirit, has recommen</w:t>
      </w:r>
      <w:r>
        <w:rPr>
          <w:rFonts w:ascii="Helvetica Neue" w:eastAsia="Helvetica Neue" w:hAnsi="Helvetica Neue" w:cs="Helvetica Neue"/>
          <w:sz w:val="20"/>
          <w:szCs w:val="20"/>
        </w:rPr>
        <w:t>dations for the institution on improving the structure and outcomes of its fall reading break.</w:t>
      </w:r>
    </w:p>
    <w:p w:rsidR="00071259" w:rsidRDefault="00725905">
      <w:r>
        <w:rPr>
          <w:rFonts w:ascii="Helvetica Neue" w:eastAsia="Helvetica Neue" w:hAnsi="Helvetica Neue" w:cs="Helvetica Neue"/>
          <w:b/>
          <w:sz w:val="20"/>
          <w:szCs w:val="20"/>
        </w:rPr>
        <w:t>Recommendations</w:t>
      </w:r>
    </w:p>
    <w:p w:rsidR="00071259" w:rsidRDefault="00725905">
      <w:r>
        <w:rPr>
          <w:rFonts w:ascii="Helvetica Neue" w:eastAsia="Helvetica Neue" w:hAnsi="Helvetica Neue" w:cs="Helvetica Neue"/>
          <w:sz w:val="20"/>
          <w:szCs w:val="20"/>
        </w:rPr>
        <w:t>The University Students’ Council proposes the following recommendations in an effort to improve the existing fall reading break.</w:t>
      </w:r>
    </w:p>
    <w:p w:rsidR="00071259" w:rsidRDefault="00725905">
      <w:pPr>
        <w:numPr>
          <w:ilvl w:val="0"/>
          <w:numId w:val="1"/>
        </w:numPr>
        <w:spacing w:after="0"/>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The University s</w:t>
      </w:r>
      <w:r>
        <w:rPr>
          <w:rFonts w:ascii="Helvetica Neue" w:eastAsia="Helvetica Neue" w:hAnsi="Helvetica Neue" w:cs="Helvetica Neue"/>
          <w:sz w:val="20"/>
          <w:szCs w:val="20"/>
        </w:rPr>
        <w:t>hould incorporate existing holidays into its fall reading break in order to maximize the amount of down-time available for students.</w:t>
      </w:r>
    </w:p>
    <w:p w:rsidR="00071259" w:rsidRDefault="00725905">
      <w:pPr>
        <w:numPr>
          <w:ilvl w:val="0"/>
          <w:numId w:val="1"/>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The University should institute a process whereby it measures the outcomes of its fall reading break, methodically evaluating whether or not students derive value from its existence in categories including academic success, mental health, and physical well</w:t>
      </w:r>
      <w:r>
        <w:rPr>
          <w:rFonts w:ascii="Helvetica Neue" w:eastAsia="Helvetica Neue" w:hAnsi="Helvetica Neue" w:cs="Helvetica Neue"/>
          <w:sz w:val="20"/>
          <w:szCs w:val="20"/>
        </w:rPr>
        <w:t>being.</w:t>
      </w:r>
    </w:p>
    <w:p w:rsidR="00071259" w:rsidRDefault="00725905">
      <w:r>
        <w:br w:type="page"/>
      </w:r>
    </w:p>
    <w:p w:rsidR="00071259" w:rsidRDefault="00071259"/>
    <w:p w:rsidR="00071259" w:rsidRDefault="00725905">
      <w:pPr>
        <w:pStyle w:val="Heading2"/>
      </w:pPr>
      <w:bookmarkStart w:id="2" w:name="h.30j0zll" w:colFirst="0" w:colLast="0"/>
      <w:bookmarkEnd w:id="2"/>
      <w:r>
        <w:rPr>
          <w:rFonts w:ascii="Helvetica Neue" w:eastAsia="Helvetica Neue" w:hAnsi="Helvetica Neue" w:cs="Helvetica Neue"/>
          <w:sz w:val="32"/>
          <w:szCs w:val="32"/>
        </w:rPr>
        <w:t xml:space="preserve">Recommendation 1: The University should incorporate </w:t>
      </w:r>
      <w:r>
        <w:rPr>
          <w:rFonts w:ascii="Helvetica Neue" w:eastAsia="Helvetica Neue" w:hAnsi="Helvetica Neue" w:cs="Helvetica Neue"/>
          <w:strike/>
          <w:sz w:val="32"/>
          <w:szCs w:val="32"/>
        </w:rPr>
        <w:t>existing holidays</w:t>
      </w:r>
      <w:r>
        <w:rPr>
          <w:rFonts w:ascii="Helvetica Neue" w:eastAsia="Helvetica Neue" w:hAnsi="Helvetica Neue" w:cs="Helvetica Neue"/>
          <w:sz w:val="32"/>
          <w:szCs w:val="32"/>
        </w:rPr>
        <w:t xml:space="preserve"> </w:t>
      </w:r>
      <w:r>
        <w:rPr>
          <w:rFonts w:ascii="Helvetica Neue" w:eastAsia="Helvetica Neue" w:hAnsi="Helvetica Neue" w:cs="Helvetica Neue"/>
          <w:color w:val="000000"/>
          <w:sz w:val="32"/>
          <w:szCs w:val="32"/>
          <w:highlight w:val="yellow"/>
        </w:rPr>
        <w:t>Thanksgiving</w:t>
      </w:r>
      <w:r>
        <w:rPr>
          <w:rFonts w:ascii="Helvetica Neue" w:eastAsia="Helvetica Neue" w:hAnsi="Helvetica Neue" w:cs="Helvetica Neue"/>
          <w:sz w:val="32"/>
          <w:szCs w:val="32"/>
        </w:rPr>
        <w:t xml:space="preserve"> into its fall reading break in order to maximize the amount of down-time available for students</w:t>
      </w:r>
    </w:p>
    <w:p w:rsidR="00071259" w:rsidRDefault="00725905">
      <w:r>
        <w:br/>
      </w:r>
      <w:r>
        <w:rPr>
          <w:rFonts w:ascii="Helvetica Neue" w:eastAsia="Helvetica Neue" w:hAnsi="Helvetica Neue" w:cs="Helvetica Neue"/>
          <w:b/>
          <w:sz w:val="20"/>
          <w:szCs w:val="20"/>
        </w:rPr>
        <w:t xml:space="preserve">Principle: </w:t>
      </w:r>
      <w:r>
        <w:rPr>
          <w:rFonts w:ascii="Helvetica Neue" w:eastAsia="Helvetica Neue" w:hAnsi="Helvetica Neue" w:cs="Helvetica Neue"/>
          <w:sz w:val="20"/>
          <w:szCs w:val="20"/>
        </w:rPr>
        <w:t>students should receive an adequate break during the fall term that would afford them a reprieve from the rigors of academic responsibility.</w:t>
      </w:r>
    </w:p>
    <w:p w:rsidR="00071259" w:rsidRDefault="00725905">
      <w:r>
        <w:rPr>
          <w:rFonts w:ascii="Helvetica Neue" w:eastAsia="Helvetica Neue" w:hAnsi="Helvetica Neue" w:cs="Helvetica Neue"/>
          <w:b/>
          <w:sz w:val="20"/>
          <w:szCs w:val="20"/>
        </w:rPr>
        <w:t xml:space="preserve">Concern: </w:t>
      </w:r>
      <w:r>
        <w:rPr>
          <w:rFonts w:ascii="Helvetica Neue" w:eastAsia="Helvetica Neue" w:hAnsi="Helvetica Neue" w:cs="Helvetica Neue"/>
          <w:sz w:val="20"/>
          <w:szCs w:val="20"/>
        </w:rPr>
        <w:t>as it stands, the fall reading break takes place following many midterm projects and examinations for half</w:t>
      </w:r>
      <w:r>
        <w:rPr>
          <w:rFonts w:ascii="Helvetica Neue" w:eastAsia="Helvetica Neue" w:hAnsi="Helvetica Neue" w:cs="Helvetica Neue"/>
          <w:sz w:val="20"/>
          <w:szCs w:val="20"/>
        </w:rPr>
        <w:t xml:space="preserve">-credit courses and is too short to allow students requiring long-distance travel to return home.  </w:t>
      </w:r>
    </w:p>
    <w:p w:rsidR="00071259" w:rsidRDefault="00725905">
      <w:r>
        <w:rPr>
          <w:rFonts w:ascii="Helvetica Neue" w:eastAsia="Helvetica Neue" w:hAnsi="Helvetica Neue" w:cs="Helvetica Neue"/>
          <w:sz w:val="20"/>
          <w:szCs w:val="20"/>
        </w:rPr>
        <w:t>Currently, Western’s reading break takes place during the last two week days of October. Consolidating those dates in the Thanksgiving weekend, as is done a</w:t>
      </w:r>
      <w:r>
        <w:rPr>
          <w:rFonts w:ascii="Helvetica Neue" w:eastAsia="Helvetica Neue" w:hAnsi="Helvetica Neue" w:cs="Helvetica Neue"/>
          <w:sz w:val="20"/>
          <w:szCs w:val="20"/>
        </w:rPr>
        <w:t>t many other Ontario universities, will give students a longer, more flexible period of time with which to undertake their endeavours.</w:t>
      </w:r>
    </w:p>
    <w:p w:rsidR="00071259" w:rsidRDefault="00725905">
      <w:r>
        <w:rPr>
          <w:rFonts w:ascii="Helvetica Neue" w:eastAsia="Helvetica Neue" w:hAnsi="Helvetica Neue" w:cs="Helvetica Neue"/>
          <w:b/>
          <w:sz w:val="20"/>
          <w:szCs w:val="20"/>
        </w:rPr>
        <w:t>Recommendation</w:t>
      </w:r>
    </w:p>
    <w:p w:rsidR="00071259" w:rsidRDefault="00725905">
      <w:r>
        <w:rPr>
          <w:rFonts w:ascii="Helvetica Neue" w:eastAsia="Helvetica Neue" w:hAnsi="Helvetica Neue" w:cs="Helvetica Neue"/>
          <w:sz w:val="20"/>
          <w:szCs w:val="20"/>
        </w:rPr>
        <w:t>Of institutions surveyed, two-thirds maintain a week-long fall reading break (see Appendix 1). Of those, h</w:t>
      </w:r>
      <w:r>
        <w:rPr>
          <w:rFonts w:ascii="Helvetica Neue" w:eastAsia="Helvetica Neue" w:hAnsi="Helvetica Neue" w:cs="Helvetica Neue"/>
          <w:sz w:val="20"/>
          <w:szCs w:val="20"/>
        </w:rPr>
        <w:t>alf offer a week-long break that incorporates an existing statutory holiday – Thanksgiving – which comes with the benefit of sparing those institutions the loss of an additional academic day. After its decision to implement a fall reading break, Western dr</w:t>
      </w:r>
      <w:r>
        <w:rPr>
          <w:rFonts w:ascii="Helvetica Neue" w:eastAsia="Helvetica Neue" w:hAnsi="Helvetica Neue" w:cs="Helvetica Neue"/>
          <w:sz w:val="20"/>
          <w:szCs w:val="20"/>
        </w:rPr>
        <w:t>opped from 64 instructional days to 62.</w:t>
      </w:r>
      <w:r>
        <w:rPr>
          <w:rFonts w:ascii="Helvetica Neue" w:eastAsia="Helvetica Neue" w:hAnsi="Helvetica Neue" w:cs="Helvetica Neue"/>
          <w:sz w:val="20"/>
          <w:szCs w:val="20"/>
          <w:vertAlign w:val="superscript"/>
        </w:rPr>
        <w:footnoteReference w:id="3"/>
      </w:r>
      <w:r>
        <w:rPr>
          <w:rFonts w:ascii="Helvetica Neue" w:eastAsia="Helvetica Neue" w:hAnsi="Helvetica Neue" w:cs="Helvetica Neue"/>
          <w:sz w:val="20"/>
          <w:szCs w:val="20"/>
        </w:rPr>
        <w:t xml:space="preserve"> As such, the implementation of a week-long break within the current academic context would be impossible without reducing the number of instructional days – an unlikely scenario, particularly because the university </w:t>
      </w:r>
      <w:r>
        <w:rPr>
          <w:rFonts w:ascii="Helvetica Neue" w:eastAsia="Helvetica Neue" w:hAnsi="Helvetica Neue" w:cs="Helvetica Neue"/>
          <w:sz w:val="20"/>
          <w:szCs w:val="20"/>
        </w:rPr>
        <w:t>reduced the number of instructional days as recently as 2013.</w:t>
      </w:r>
    </w:p>
    <w:p w:rsidR="00071259" w:rsidRDefault="00725905">
      <w:r>
        <w:rPr>
          <w:rFonts w:ascii="Helvetica Neue" w:eastAsia="Helvetica Neue" w:hAnsi="Helvetica Neue" w:cs="Helvetica Neue"/>
          <w:sz w:val="20"/>
          <w:szCs w:val="20"/>
        </w:rPr>
        <w:t>However, mirroring the efforts of peer institutions such as Brock University, McMaster University, the University of Toronto (Scarborough), and Wilfrid Laurier University, which offer a full wee</w:t>
      </w:r>
      <w:r>
        <w:rPr>
          <w:rFonts w:ascii="Helvetica Neue" w:eastAsia="Helvetica Neue" w:hAnsi="Helvetica Neue" w:cs="Helvetica Neue"/>
          <w:sz w:val="20"/>
          <w:szCs w:val="20"/>
        </w:rPr>
        <w:t>k-long break immediately following Thanksgiving, might offer a reasonable work around to the length of the academic term. Shifting existing dates to the week immediately following Thanksgiving creates a five-day, as opposed to three-day, holiday that offer</w:t>
      </w:r>
      <w:r>
        <w:rPr>
          <w:rFonts w:ascii="Helvetica Neue" w:eastAsia="Helvetica Neue" w:hAnsi="Helvetica Neue" w:cs="Helvetica Neue"/>
          <w:sz w:val="20"/>
          <w:szCs w:val="20"/>
        </w:rPr>
        <w:t>s more flexibility for travelling and working students.</w:t>
      </w:r>
      <w:r>
        <w:br w:type="page"/>
      </w:r>
    </w:p>
    <w:p w:rsidR="00071259" w:rsidRDefault="00071259"/>
    <w:p w:rsidR="00071259" w:rsidRDefault="00725905">
      <w:pPr>
        <w:pStyle w:val="Heading2"/>
      </w:pPr>
      <w:bookmarkStart w:id="3" w:name="h.1fob9te" w:colFirst="0" w:colLast="0"/>
      <w:bookmarkEnd w:id="3"/>
      <w:r>
        <w:rPr>
          <w:rFonts w:ascii="Helvetica Neue" w:eastAsia="Helvetica Neue" w:hAnsi="Helvetica Neue" w:cs="Helvetica Neue"/>
          <w:sz w:val="32"/>
          <w:szCs w:val="32"/>
        </w:rPr>
        <w:t>Recommendation 2: The University should institute a process whereby it measures the outcomes of its fall reading break, periodically evaluating whether or not students derive value from its existenc</w:t>
      </w:r>
      <w:r>
        <w:rPr>
          <w:rFonts w:ascii="Helvetica Neue" w:eastAsia="Helvetica Neue" w:hAnsi="Helvetica Neue" w:cs="Helvetica Neue"/>
          <w:sz w:val="32"/>
          <w:szCs w:val="32"/>
        </w:rPr>
        <w:t>e in categories including academic success, mental health, and physical wellbeing</w:t>
      </w:r>
    </w:p>
    <w:p w:rsidR="00071259" w:rsidRDefault="00725905">
      <w:r>
        <w:br/>
      </w:r>
      <w:r>
        <w:rPr>
          <w:rFonts w:ascii="Helvetica Neue" w:eastAsia="Helvetica Neue" w:hAnsi="Helvetica Neue" w:cs="Helvetica Neue"/>
          <w:b/>
          <w:sz w:val="20"/>
          <w:szCs w:val="20"/>
        </w:rPr>
        <w:t xml:space="preserve">Principle: </w:t>
      </w:r>
      <w:r>
        <w:rPr>
          <w:rFonts w:ascii="Helvetica Neue" w:eastAsia="Helvetica Neue" w:hAnsi="Helvetica Neue" w:cs="Helvetica Neue"/>
          <w:sz w:val="20"/>
          <w:szCs w:val="20"/>
        </w:rPr>
        <w:t>university initiatives should constantly be assessed to determine whether or not they are appropriately responding to student needs.</w:t>
      </w:r>
    </w:p>
    <w:p w:rsidR="00071259" w:rsidRDefault="00725905">
      <w:r>
        <w:rPr>
          <w:rFonts w:ascii="Helvetica Neue" w:eastAsia="Helvetica Neue" w:hAnsi="Helvetica Neue" w:cs="Helvetica Neue"/>
          <w:b/>
          <w:sz w:val="20"/>
          <w:szCs w:val="20"/>
        </w:rPr>
        <w:t xml:space="preserve">Concern: </w:t>
      </w:r>
      <w:r>
        <w:rPr>
          <w:rFonts w:ascii="Helvetica Neue" w:eastAsia="Helvetica Neue" w:hAnsi="Helvetica Neue" w:cs="Helvetica Neue"/>
          <w:sz w:val="20"/>
          <w:szCs w:val="20"/>
        </w:rPr>
        <w:t>very little research</w:t>
      </w:r>
      <w:r>
        <w:rPr>
          <w:rFonts w:ascii="Helvetica Neue" w:eastAsia="Helvetica Neue" w:hAnsi="Helvetica Neue" w:cs="Helvetica Neue"/>
          <w:sz w:val="20"/>
          <w:szCs w:val="20"/>
        </w:rPr>
        <w:t xml:space="preserve"> has been done on the impact of the fall reading break on its target indicators, including better time management capacity and improved wellness for students.</w:t>
      </w:r>
    </w:p>
    <w:p w:rsidR="00071259" w:rsidRDefault="00725905">
      <w:r>
        <w:rPr>
          <w:rFonts w:ascii="Helvetica Neue" w:eastAsia="Helvetica Neue" w:hAnsi="Helvetica Neue" w:cs="Helvetica Neue"/>
          <w:sz w:val="20"/>
          <w:szCs w:val="20"/>
        </w:rPr>
        <w:t>While the USC and the University have independent mechanisms to measure whether or not students l</w:t>
      </w:r>
      <w:r>
        <w:rPr>
          <w:rFonts w:ascii="Helvetica Neue" w:eastAsia="Helvetica Neue" w:hAnsi="Helvetica Neue" w:cs="Helvetica Neue"/>
          <w:sz w:val="20"/>
          <w:szCs w:val="20"/>
        </w:rPr>
        <w:t>ike the fall reading break, no system is currently in place to monitor the effectiveness of the break on an ongoing basis. Very little research has been done on the impact the break has had on key indicators; for instance, we do not have a clear idea of wh</w:t>
      </w:r>
      <w:r>
        <w:rPr>
          <w:rFonts w:ascii="Helvetica Neue" w:eastAsia="Helvetica Neue" w:hAnsi="Helvetica Neue" w:cs="Helvetica Neue"/>
          <w:sz w:val="20"/>
          <w:szCs w:val="20"/>
        </w:rPr>
        <w:t>ether or not the existence of the break translates into reduced academic stress post-break.</w:t>
      </w:r>
    </w:p>
    <w:p w:rsidR="00071259" w:rsidRDefault="00725905">
      <w:r>
        <w:rPr>
          <w:rFonts w:ascii="Helvetica Neue" w:eastAsia="Helvetica Neue" w:hAnsi="Helvetica Neue" w:cs="Helvetica Neue"/>
          <w:b/>
          <w:sz w:val="20"/>
          <w:szCs w:val="20"/>
        </w:rPr>
        <w:t>Recommendation</w:t>
      </w:r>
    </w:p>
    <w:p w:rsidR="00071259" w:rsidRDefault="00725905">
      <w:r>
        <w:rPr>
          <w:rFonts w:ascii="Helvetica Neue" w:eastAsia="Helvetica Neue" w:hAnsi="Helvetica Neue" w:cs="Helvetica Neue"/>
          <w:sz w:val="20"/>
          <w:szCs w:val="20"/>
        </w:rPr>
        <w:t>In order to ensure that the fall reading break is fulfilling the original spirit in which it was created, we propose that the University articulate d</w:t>
      </w:r>
      <w:r>
        <w:rPr>
          <w:rFonts w:ascii="Helvetica Neue" w:eastAsia="Helvetica Neue" w:hAnsi="Helvetica Neue" w:cs="Helvetica Neue"/>
          <w:sz w:val="20"/>
          <w:szCs w:val="20"/>
        </w:rPr>
        <w:t>esired university-wide outcomes for the break. A process whereby we determine whether or not the break results in those institutional outcomes for our students can then be put in place. Other institutional initiatives with a stress reduction component, inc</w:t>
      </w:r>
      <w:r>
        <w:rPr>
          <w:rFonts w:ascii="Helvetica Neue" w:eastAsia="Helvetica Neue" w:hAnsi="Helvetica Neue" w:cs="Helvetica Neue"/>
          <w:sz w:val="20"/>
          <w:szCs w:val="20"/>
        </w:rPr>
        <w:t>luding many existing student services, are monitored constantly for effectiveness. The fall reading break should be no exception.</w:t>
      </w:r>
      <w:r>
        <w:rPr>
          <w:rFonts w:ascii="Helvetica Neue" w:eastAsia="Helvetica Neue" w:hAnsi="Helvetica Neue" w:cs="Helvetica Neue"/>
        </w:rPr>
        <w:br/>
      </w:r>
    </w:p>
    <w:p w:rsidR="00071259" w:rsidRDefault="00725905">
      <w:r>
        <w:br w:type="page"/>
      </w:r>
    </w:p>
    <w:p w:rsidR="00071259" w:rsidRDefault="00071259"/>
    <w:p w:rsidR="00071259" w:rsidRDefault="00725905">
      <w:pPr>
        <w:pStyle w:val="Heading2"/>
      </w:pPr>
      <w:bookmarkStart w:id="4" w:name="h.3znysh7" w:colFirst="0" w:colLast="0"/>
      <w:bookmarkEnd w:id="4"/>
      <w:r>
        <w:rPr>
          <w:rFonts w:ascii="Helvetica Neue" w:eastAsia="Helvetica Neue" w:hAnsi="Helvetica Neue" w:cs="Helvetica Neue"/>
          <w:sz w:val="32"/>
          <w:szCs w:val="32"/>
        </w:rPr>
        <w:t>Appendix 1: Fall Reading Week lengths and dates at large Canadian universities</w:t>
      </w:r>
      <w:r>
        <w:rPr>
          <w:rFonts w:ascii="Helvetica Neue" w:eastAsia="Helvetica Neue" w:hAnsi="Helvetica Neue" w:cs="Helvetica Neue"/>
          <w:sz w:val="32"/>
          <w:szCs w:val="32"/>
        </w:rPr>
        <w:br/>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835"/>
        <w:gridCol w:w="2805"/>
      </w:tblGrid>
      <w:tr w:rsidR="00071259">
        <w:tc>
          <w:tcPr>
            <w:tcW w:w="3936" w:type="dxa"/>
          </w:tcPr>
          <w:p w:rsidR="00071259" w:rsidRDefault="00725905">
            <w:pPr>
              <w:jc w:val="center"/>
            </w:pPr>
            <w:r>
              <w:rPr>
                <w:rFonts w:ascii="Helvetica Neue" w:eastAsia="Helvetica Neue" w:hAnsi="Helvetica Neue" w:cs="Helvetica Neue"/>
                <w:b/>
                <w:sz w:val="20"/>
                <w:szCs w:val="20"/>
              </w:rPr>
              <w:t>Institution</w:t>
            </w:r>
          </w:p>
        </w:tc>
        <w:tc>
          <w:tcPr>
            <w:tcW w:w="2835" w:type="dxa"/>
          </w:tcPr>
          <w:p w:rsidR="00071259" w:rsidRDefault="00725905">
            <w:pPr>
              <w:jc w:val="center"/>
            </w:pPr>
            <w:r>
              <w:rPr>
                <w:rFonts w:ascii="Helvetica Neue" w:eastAsia="Helvetica Neue" w:hAnsi="Helvetica Neue" w:cs="Helvetica Neue"/>
                <w:b/>
                <w:sz w:val="20"/>
                <w:szCs w:val="20"/>
              </w:rPr>
              <w:t>Full Week Reading Break (Yes/No)</w:t>
            </w:r>
          </w:p>
        </w:tc>
        <w:tc>
          <w:tcPr>
            <w:tcW w:w="2805" w:type="dxa"/>
          </w:tcPr>
          <w:p w:rsidR="00071259" w:rsidRDefault="00725905">
            <w:pPr>
              <w:jc w:val="center"/>
            </w:pPr>
            <w:r>
              <w:rPr>
                <w:rFonts w:ascii="Helvetica Neue" w:eastAsia="Helvetica Neue" w:hAnsi="Helvetica Neue" w:cs="Helvetica Neue"/>
                <w:b/>
                <w:sz w:val="20"/>
                <w:szCs w:val="20"/>
              </w:rPr>
              <w:t>Dates</w:t>
            </w:r>
          </w:p>
        </w:tc>
      </w:tr>
      <w:tr w:rsidR="00071259">
        <w:tc>
          <w:tcPr>
            <w:tcW w:w="3936" w:type="dxa"/>
          </w:tcPr>
          <w:p w:rsidR="00071259" w:rsidRDefault="00725905">
            <w:pPr>
              <w:jc w:val="center"/>
            </w:pPr>
            <w:r>
              <w:rPr>
                <w:rFonts w:ascii="Helvetica Neue" w:eastAsia="Helvetica Neue" w:hAnsi="Helvetica Neue" w:cs="Helvetica Neue"/>
                <w:sz w:val="20"/>
                <w:szCs w:val="20"/>
              </w:rPr>
              <w:t>Brock University</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October 13</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16</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Carleton University</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October 26</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30</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McMaster University</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October 12</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17</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Trent University</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October 26</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30</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University of Alberta</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November 9</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13</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University of Calgary</w:t>
            </w:r>
          </w:p>
        </w:tc>
        <w:tc>
          <w:tcPr>
            <w:tcW w:w="2835" w:type="dxa"/>
          </w:tcPr>
          <w:p w:rsidR="00071259" w:rsidRDefault="00725905">
            <w:pPr>
              <w:jc w:val="center"/>
            </w:pPr>
            <w:r>
              <w:rPr>
                <w:rFonts w:ascii="Helvetica Neue" w:eastAsia="Helvetica Neue" w:hAnsi="Helvetica Neue" w:cs="Helvetica Neue"/>
                <w:sz w:val="20"/>
                <w:szCs w:val="20"/>
              </w:rPr>
              <w:t>No</w:t>
            </w:r>
          </w:p>
        </w:tc>
        <w:tc>
          <w:tcPr>
            <w:tcW w:w="2805" w:type="dxa"/>
          </w:tcPr>
          <w:p w:rsidR="00071259" w:rsidRDefault="00725905">
            <w:pPr>
              <w:jc w:val="center"/>
            </w:pPr>
            <w:r>
              <w:rPr>
                <w:rFonts w:ascii="Helvetica Neue" w:eastAsia="Helvetica Neue" w:hAnsi="Helvetica Neue" w:cs="Helvetica Neue"/>
                <w:sz w:val="20"/>
                <w:szCs w:val="20"/>
              </w:rPr>
              <w:t>November 11</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13</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University of Guelph</w:t>
            </w:r>
          </w:p>
        </w:tc>
        <w:tc>
          <w:tcPr>
            <w:tcW w:w="2835" w:type="dxa"/>
          </w:tcPr>
          <w:p w:rsidR="00071259" w:rsidRDefault="00725905">
            <w:pPr>
              <w:jc w:val="center"/>
            </w:pPr>
            <w:r>
              <w:rPr>
                <w:rFonts w:ascii="Helvetica Neue" w:eastAsia="Helvetica Neue" w:hAnsi="Helvetica Neue" w:cs="Helvetica Neue"/>
                <w:sz w:val="20"/>
                <w:szCs w:val="20"/>
              </w:rPr>
              <w:t>No</w:t>
            </w:r>
          </w:p>
        </w:tc>
        <w:tc>
          <w:tcPr>
            <w:tcW w:w="2805" w:type="dxa"/>
          </w:tcPr>
          <w:p w:rsidR="00071259" w:rsidRDefault="00725905">
            <w:pPr>
              <w:jc w:val="center"/>
            </w:pPr>
            <w:r>
              <w:rPr>
                <w:rFonts w:ascii="Helvetica Neue" w:eastAsia="Helvetica Neue" w:hAnsi="Helvetica Neue" w:cs="Helvetica Neue"/>
                <w:sz w:val="20"/>
                <w:szCs w:val="20"/>
              </w:rPr>
              <w:t>October 13</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University of Toronto, Mississauga</w:t>
            </w:r>
          </w:p>
        </w:tc>
        <w:tc>
          <w:tcPr>
            <w:tcW w:w="2835" w:type="dxa"/>
          </w:tcPr>
          <w:p w:rsidR="00071259" w:rsidRDefault="00725905">
            <w:pPr>
              <w:jc w:val="center"/>
            </w:pPr>
            <w:r>
              <w:rPr>
                <w:rFonts w:ascii="Helvetica Neue" w:eastAsia="Helvetica Neue" w:hAnsi="Helvetica Neue" w:cs="Helvetica Neue"/>
                <w:sz w:val="20"/>
                <w:szCs w:val="20"/>
              </w:rPr>
              <w:t>No (instituted for 2016)</w:t>
            </w:r>
          </w:p>
        </w:tc>
        <w:tc>
          <w:tcPr>
            <w:tcW w:w="2805" w:type="dxa"/>
          </w:tcPr>
          <w:p w:rsidR="00071259" w:rsidRDefault="00725905">
            <w:pPr>
              <w:jc w:val="center"/>
            </w:pPr>
            <w:r>
              <w:rPr>
                <w:rFonts w:ascii="Helvetica Neue" w:eastAsia="Helvetica Neue" w:hAnsi="Helvetica Neue" w:cs="Helvetica Neue"/>
                <w:sz w:val="20"/>
                <w:szCs w:val="20"/>
              </w:rPr>
              <w:t>October 10</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14</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2016</w:t>
            </w:r>
          </w:p>
        </w:tc>
      </w:tr>
      <w:tr w:rsidR="00071259">
        <w:tc>
          <w:tcPr>
            <w:tcW w:w="3936" w:type="dxa"/>
          </w:tcPr>
          <w:p w:rsidR="00071259" w:rsidRDefault="00725905">
            <w:pPr>
              <w:jc w:val="center"/>
            </w:pPr>
            <w:r>
              <w:rPr>
                <w:rFonts w:ascii="Helvetica Neue" w:eastAsia="Helvetica Neue" w:hAnsi="Helvetica Neue" w:cs="Helvetica Neue"/>
                <w:sz w:val="20"/>
                <w:szCs w:val="20"/>
              </w:rPr>
              <w:t>University of Toronto, Scarborough</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October 13</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17</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University of Waterloo</w:t>
            </w:r>
          </w:p>
        </w:tc>
        <w:tc>
          <w:tcPr>
            <w:tcW w:w="2835" w:type="dxa"/>
          </w:tcPr>
          <w:p w:rsidR="00071259" w:rsidRDefault="00725905">
            <w:pPr>
              <w:jc w:val="center"/>
            </w:pPr>
            <w:r>
              <w:rPr>
                <w:rFonts w:ascii="Helvetica Neue" w:eastAsia="Helvetica Neue" w:hAnsi="Helvetica Neue" w:cs="Helvetica Neue"/>
                <w:sz w:val="20"/>
                <w:szCs w:val="20"/>
              </w:rPr>
              <w:t>No</w:t>
            </w:r>
          </w:p>
        </w:tc>
        <w:tc>
          <w:tcPr>
            <w:tcW w:w="2805" w:type="dxa"/>
          </w:tcPr>
          <w:p w:rsidR="00071259" w:rsidRDefault="00725905">
            <w:pPr>
              <w:jc w:val="center"/>
            </w:pPr>
            <w:r>
              <w:rPr>
                <w:rFonts w:ascii="Helvetica Neue" w:eastAsia="Helvetica Neue" w:hAnsi="Helvetica Neue" w:cs="Helvetica Neue"/>
                <w:sz w:val="20"/>
                <w:szCs w:val="20"/>
              </w:rPr>
              <w:t>October 11</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and 12</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2016</w:t>
            </w:r>
          </w:p>
        </w:tc>
      </w:tr>
      <w:tr w:rsidR="00071259">
        <w:tc>
          <w:tcPr>
            <w:tcW w:w="3936" w:type="dxa"/>
          </w:tcPr>
          <w:p w:rsidR="00071259" w:rsidRDefault="00725905">
            <w:pPr>
              <w:jc w:val="center"/>
            </w:pPr>
            <w:r>
              <w:rPr>
                <w:rFonts w:ascii="Helvetica Neue" w:eastAsia="Helvetica Neue" w:hAnsi="Helvetica Neue" w:cs="Helvetica Neue"/>
                <w:sz w:val="20"/>
                <w:szCs w:val="20"/>
              </w:rPr>
              <w:t>Wilfrid Laurier University</w:t>
            </w:r>
          </w:p>
        </w:tc>
        <w:tc>
          <w:tcPr>
            <w:tcW w:w="2835" w:type="dxa"/>
          </w:tcPr>
          <w:p w:rsidR="00071259" w:rsidRDefault="00725905">
            <w:pPr>
              <w:jc w:val="center"/>
            </w:pPr>
            <w:r>
              <w:rPr>
                <w:rFonts w:ascii="Helvetica Neue" w:eastAsia="Helvetica Neue" w:hAnsi="Helvetica Neue" w:cs="Helvetica Neue"/>
                <w:sz w:val="20"/>
                <w:szCs w:val="20"/>
              </w:rPr>
              <w:t>Yes*</w:t>
            </w:r>
          </w:p>
        </w:tc>
        <w:tc>
          <w:tcPr>
            <w:tcW w:w="2805" w:type="dxa"/>
          </w:tcPr>
          <w:p w:rsidR="00071259" w:rsidRDefault="00725905">
            <w:pPr>
              <w:jc w:val="center"/>
            </w:pPr>
            <w:r>
              <w:rPr>
                <w:rFonts w:ascii="Helvetica Neue" w:eastAsia="Helvetica Neue" w:hAnsi="Helvetica Neue" w:cs="Helvetica Neue"/>
                <w:sz w:val="20"/>
                <w:szCs w:val="20"/>
              </w:rPr>
              <w:t>October 13</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16</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2015</w:t>
            </w:r>
          </w:p>
        </w:tc>
      </w:tr>
      <w:tr w:rsidR="00071259">
        <w:tc>
          <w:tcPr>
            <w:tcW w:w="3936" w:type="dxa"/>
          </w:tcPr>
          <w:p w:rsidR="00071259" w:rsidRDefault="00725905">
            <w:pPr>
              <w:jc w:val="center"/>
            </w:pPr>
            <w:r>
              <w:rPr>
                <w:rFonts w:ascii="Helvetica Neue" w:eastAsia="Helvetica Neue" w:hAnsi="Helvetica Neue" w:cs="Helvetica Neue"/>
                <w:sz w:val="20"/>
                <w:szCs w:val="20"/>
              </w:rPr>
              <w:t>York University</w:t>
            </w:r>
          </w:p>
        </w:tc>
        <w:tc>
          <w:tcPr>
            <w:tcW w:w="2835" w:type="dxa"/>
          </w:tcPr>
          <w:p w:rsidR="00071259" w:rsidRDefault="00725905">
            <w:pPr>
              <w:jc w:val="center"/>
            </w:pPr>
            <w:r>
              <w:rPr>
                <w:rFonts w:ascii="Helvetica Neue" w:eastAsia="Helvetica Neue" w:hAnsi="Helvetica Neue" w:cs="Helvetica Neue"/>
                <w:sz w:val="20"/>
                <w:szCs w:val="20"/>
              </w:rPr>
              <w:t>No</w:t>
            </w:r>
          </w:p>
        </w:tc>
        <w:tc>
          <w:tcPr>
            <w:tcW w:w="2805" w:type="dxa"/>
          </w:tcPr>
          <w:p w:rsidR="00071259" w:rsidRDefault="00725905">
            <w:pPr>
              <w:jc w:val="center"/>
            </w:pPr>
            <w:r>
              <w:rPr>
                <w:rFonts w:ascii="Helvetica Neue" w:eastAsia="Helvetica Neue" w:hAnsi="Helvetica Neue" w:cs="Helvetica Neue"/>
                <w:sz w:val="20"/>
                <w:szCs w:val="20"/>
              </w:rPr>
              <w:t>October 29</w:t>
            </w:r>
            <w:r>
              <w:rPr>
                <w:rFonts w:ascii="Helvetica Neue" w:eastAsia="Helvetica Neue" w:hAnsi="Helvetica Neue" w:cs="Helvetica Neue"/>
                <w:sz w:val="20"/>
                <w:szCs w:val="20"/>
                <w:vertAlign w:val="superscript"/>
              </w:rPr>
              <w:t>th</w:t>
            </w:r>
            <w:r>
              <w:rPr>
                <w:rFonts w:ascii="Helvetica Neue" w:eastAsia="Helvetica Neue" w:hAnsi="Helvetica Neue" w:cs="Helvetica Neue"/>
                <w:sz w:val="20"/>
                <w:szCs w:val="20"/>
              </w:rPr>
              <w:t xml:space="preserve"> to November 1</w:t>
            </w:r>
            <w:r>
              <w:rPr>
                <w:rFonts w:ascii="Helvetica Neue" w:eastAsia="Helvetica Neue" w:hAnsi="Helvetica Neue" w:cs="Helvetica Neue"/>
                <w:sz w:val="20"/>
                <w:szCs w:val="20"/>
                <w:vertAlign w:val="superscript"/>
              </w:rPr>
              <w:t>st</w:t>
            </w:r>
            <w:r>
              <w:rPr>
                <w:rFonts w:ascii="Helvetica Neue" w:eastAsia="Helvetica Neue" w:hAnsi="Helvetica Neue" w:cs="Helvetica Neue"/>
                <w:sz w:val="20"/>
                <w:szCs w:val="20"/>
              </w:rPr>
              <w:t>, 2015</w:t>
            </w:r>
          </w:p>
        </w:tc>
      </w:tr>
    </w:tbl>
    <w:p w:rsidR="00071259" w:rsidRDefault="00071259"/>
    <w:p w:rsidR="00071259" w:rsidRDefault="00725905">
      <w:r>
        <w:rPr>
          <w:rFonts w:ascii="Helvetica Neue" w:eastAsia="Helvetica Neue" w:hAnsi="Helvetica Neue" w:cs="Helvetica Neue"/>
          <w:sz w:val="20"/>
          <w:szCs w:val="20"/>
        </w:rPr>
        <w:t xml:space="preserve">* </w:t>
      </w:r>
      <w:proofErr w:type="gramStart"/>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indicates</w:t>
      </w:r>
      <w:proofErr w:type="gramEnd"/>
      <w:r>
        <w:rPr>
          <w:rFonts w:ascii="Helvetica Neue" w:eastAsia="Helvetica Neue" w:hAnsi="Helvetica Neue" w:cs="Helvetica Neue"/>
          <w:i/>
          <w:sz w:val="20"/>
          <w:szCs w:val="20"/>
        </w:rPr>
        <w:t xml:space="preserve"> that a full reading week is partially composed of an existing holiday</w:t>
      </w:r>
    </w:p>
    <w:sectPr w:rsidR="0007125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05" w:rsidRDefault="00725905">
      <w:pPr>
        <w:spacing w:after="0" w:line="240" w:lineRule="auto"/>
      </w:pPr>
      <w:r>
        <w:separator/>
      </w:r>
    </w:p>
  </w:endnote>
  <w:endnote w:type="continuationSeparator" w:id="0">
    <w:p w:rsidR="00725905" w:rsidRDefault="0072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59" w:rsidRDefault="00725905">
    <w:pPr>
      <w:tabs>
        <w:tab w:val="center" w:pos="4680"/>
        <w:tab w:val="right" w:pos="9360"/>
      </w:tabs>
      <w:spacing w:after="708" w:line="240" w:lineRule="auto"/>
      <w:jc w:val="right"/>
    </w:pPr>
    <w:r>
      <w:rPr>
        <w:rFonts w:ascii="Helvetica Neue" w:eastAsia="Helvetica Neue" w:hAnsi="Helvetica Neue" w:cs="Helvetica Neue"/>
        <w:sz w:val="16"/>
        <w:szCs w:val="16"/>
      </w:rPr>
      <w:t xml:space="preserve">Fall Reading Break Page </w:t>
    </w:r>
    <w:r>
      <w:fldChar w:fldCharType="begin"/>
    </w:r>
    <w:r>
      <w:instrText>PAGE</w:instrText>
    </w:r>
    <w:r>
      <w:fldChar w:fldCharType="separate"/>
    </w:r>
    <w:r w:rsidR="00A52FA4">
      <w:rPr>
        <w:noProof/>
      </w:rPr>
      <w:t>6</w:t>
    </w:r>
    <w:r>
      <w:fldChar w:fldCharType="end"/>
    </w:r>
    <w:r>
      <w:rPr>
        <w:rFonts w:ascii="Helvetica Neue" w:eastAsia="Helvetica Neue" w:hAnsi="Helvetica Neue" w:cs="Helvetica Neue"/>
        <w:sz w:val="16"/>
        <w:szCs w:val="16"/>
      </w:rPr>
      <w:t xml:space="preserve"> of </w:t>
    </w:r>
    <w:r>
      <w:fldChar w:fldCharType="begin"/>
    </w:r>
    <w:r>
      <w:instrText>NUMPAGES</w:instrText>
    </w:r>
    <w:r>
      <w:fldChar w:fldCharType="separate"/>
    </w:r>
    <w:r w:rsidR="00A52FA4">
      <w:rPr>
        <w:noProof/>
      </w:rPr>
      <w:t>6</w:t>
    </w:r>
    <w:r>
      <w:fldChar w:fldCharType="end"/>
    </w:r>
  </w:p>
  <w:p w:rsidR="00071259" w:rsidRDefault="00071259">
    <w:pPr>
      <w:tabs>
        <w:tab w:val="center" w:pos="4680"/>
        <w:tab w:val="right" w:pos="9360"/>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05" w:rsidRDefault="00725905">
      <w:pPr>
        <w:spacing w:after="0" w:line="240" w:lineRule="auto"/>
      </w:pPr>
      <w:r>
        <w:separator/>
      </w:r>
    </w:p>
  </w:footnote>
  <w:footnote w:type="continuationSeparator" w:id="0">
    <w:p w:rsidR="00725905" w:rsidRDefault="00725905">
      <w:pPr>
        <w:spacing w:after="0" w:line="240" w:lineRule="auto"/>
      </w:pPr>
      <w:r>
        <w:continuationSeparator/>
      </w:r>
    </w:p>
  </w:footnote>
  <w:footnote w:id="1">
    <w:p w:rsidR="00071259" w:rsidRDefault="00725905">
      <w:pPr>
        <w:spacing w:after="0" w:line="240" w:lineRule="auto"/>
      </w:pPr>
      <w:r>
        <w:rPr>
          <w:vertAlign w:val="superscript"/>
        </w:rPr>
        <w:footnoteRef/>
      </w:r>
      <w:r>
        <w:rPr>
          <w:sz w:val="20"/>
          <w:szCs w:val="20"/>
        </w:rPr>
        <w:t xml:space="preserve"> </w:t>
      </w:r>
      <w:r>
        <w:rPr>
          <w:sz w:val="15"/>
          <w:szCs w:val="15"/>
        </w:rPr>
        <w:t>http://www.thestar.com/life/health_wellness/2013/10/14/ontario_universities_embrace_midterm_fall_break_to_ease_students_minds.html</w:t>
      </w:r>
    </w:p>
  </w:footnote>
  <w:footnote w:id="2">
    <w:p w:rsidR="00071259" w:rsidRDefault="00725905">
      <w:pPr>
        <w:spacing w:after="0" w:line="240" w:lineRule="auto"/>
      </w:pPr>
      <w:r>
        <w:rPr>
          <w:vertAlign w:val="superscript"/>
        </w:rPr>
        <w:footnoteRef/>
      </w:r>
      <w:r>
        <w:rPr>
          <w:sz w:val="20"/>
          <w:szCs w:val="20"/>
        </w:rPr>
        <w:t xml:space="preserve"> </w:t>
      </w:r>
      <w:r>
        <w:rPr>
          <w:sz w:val="16"/>
          <w:szCs w:val="16"/>
        </w:rPr>
        <w:t>http://westernusc.ca/blog/2012/11/16/university-senate-passes-fall-reading-break-starting-in-the-20122013-academic-year/</w:t>
      </w:r>
    </w:p>
  </w:footnote>
  <w:footnote w:id="3">
    <w:p w:rsidR="00071259" w:rsidRDefault="00725905">
      <w:pPr>
        <w:spacing w:after="0" w:line="240" w:lineRule="auto"/>
      </w:pPr>
      <w:r>
        <w:rPr>
          <w:vertAlign w:val="superscript"/>
        </w:rPr>
        <w:footnoteRef/>
      </w:r>
      <w:r>
        <w:rPr>
          <w:sz w:val="20"/>
          <w:szCs w:val="20"/>
        </w:rPr>
        <w:t xml:space="preserve"> </w:t>
      </w:r>
      <w:r>
        <w:rPr>
          <w:sz w:val="16"/>
          <w:szCs w:val="16"/>
        </w:rPr>
        <w:t>https://www.uwo.ca/univsec/pdf/academic_policies/general/structure.pdf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3985"/>
    <w:multiLevelType w:val="multilevel"/>
    <w:tmpl w:val="E16A21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9"/>
    <w:rsid w:val="00071259"/>
    <w:rsid w:val="00725905"/>
    <w:rsid w:val="00A52FA4"/>
    <w:rsid w:val="00DD7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6BF9E-4A51-483D-88A9-AA88AFD9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English</dc:creator>
  <cp:lastModifiedBy>VP Finance</cp:lastModifiedBy>
  <cp:revision>4</cp:revision>
  <cp:lastPrinted>2016-02-24T20:19:00Z</cp:lastPrinted>
  <dcterms:created xsi:type="dcterms:W3CDTF">2016-02-24T20:19:00Z</dcterms:created>
  <dcterms:modified xsi:type="dcterms:W3CDTF">2016-02-24T20:19:00Z</dcterms:modified>
</cp:coreProperties>
</file>