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12" w:rsidRPr="008B5412" w:rsidRDefault="008B5412" w:rsidP="008B5412">
      <w:pPr>
        <w:jc w:val="center"/>
        <w:rPr>
          <w:rFonts w:ascii="Helvetica" w:hAnsi="Helvetica" w:cs="Helvetica"/>
        </w:rPr>
      </w:pPr>
      <w:bookmarkStart w:id="0" w:name="_GoBack"/>
      <w:bookmarkEnd w:id="0"/>
      <w:r w:rsidRPr="008B5412">
        <w:rPr>
          <w:rFonts w:ascii="Helvetica" w:hAnsi="Helvetica" w:cs="Helvetica"/>
          <w:noProof/>
          <w:lang w:eastAsia="en-CA"/>
        </w:rPr>
        <w:drawing>
          <wp:inline distT="0" distB="0" distL="0" distR="0">
            <wp:extent cx="1436916" cy="1436916"/>
            <wp:effectExtent l="19050" t="0" r="0" b="0"/>
            <wp:docPr id="2" name="Picture 0" descr="student-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council.png"/>
                    <pic:cNvPicPr/>
                  </pic:nvPicPr>
                  <pic:blipFill>
                    <a:blip r:embed="rId8" cstate="print"/>
                    <a:stretch>
                      <a:fillRect/>
                    </a:stretch>
                  </pic:blipFill>
                  <pic:spPr>
                    <a:xfrm>
                      <a:off x="0" y="0"/>
                      <a:ext cx="1437548" cy="1437548"/>
                    </a:xfrm>
                    <a:prstGeom prst="rect">
                      <a:avLst/>
                    </a:prstGeom>
                  </pic:spPr>
                </pic:pic>
              </a:graphicData>
            </a:graphic>
          </wp:inline>
        </w:drawing>
      </w:r>
    </w:p>
    <w:p w:rsidR="008B5412" w:rsidRPr="008B5412" w:rsidRDefault="008B5412" w:rsidP="008B5412">
      <w:pPr>
        <w:jc w:val="center"/>
        <w:rPr>
          <w:rFonts w:ascii="Helvetica" w:hAnsi="Helvetica" w:cs="Helvetica"/>
          <w:b/>
          <w:i/>
        </w:rPr>
      </w:pPr>
      <w:r w:rsidRPr="008B5412">
        <w:rPr>
          <w:rFonts w:ascii="Helvetica" w:hAnsi="Helvetica" w:cs="Helvetica"/>
          <w:b/>
        </w:rPr>
        <w:t>University Students’ Council Standing Policy</w:t>
      </w:r>
    </w:p>
    <w:tbl>
      <w:tblPr>
        <w:tblStyle w:val="TableGrid"/>
        <w:tblW w:w="0" w:type="auto"/>
        <w:tblInd w:w="2203" w:type="dxa"/>
        <w:tblLook w:val="04A0" w:firstRow="1" w:lastRow="0" w:firstColumn="1" w:lastColumn="0" w:noHBand="0" w:noVBand="1"/>
      </w:tblPr>
      <w:tblGrid>
        <w:gridCol w:w="2480"/>
        <w:gridCol w:w="2481"/>
      </w:tblGrid>
      <w:tr w:rsidR="008B5412" w:rsidRPr="008B5412" w:rsidTr="00465BB8">
        <w:tc>
          <w:tcPr>
            <w:tcW w:w="2480" w:type="dxa"/>
          </w:tcPr>
          <w:p w:rsidR="008B5412" w:rsidRPr="008B5412" w:rsidRDefault="008B5412" w:rsidP="00465BB8">
            <w:pPr>
              <w:spacing w:line="276" w:lineRule="auto"/>
              <w:jc w:val="center"/>
              <w:rPr>
                <w:rFonts w:ascii="Helvetica" w:hAnsi="Helvetica" w:cs="Helvetica"/>
                <w:b/>
              </w:rPr>
            </w:pPr>
            <w:r>
              <w:rPr>
                <w:rFonts w:ascii="Helvetica" w:hAnsi="Helvetica" w:cs="Helvetica"/>
                <w:b/>
              </w:rPr>
              <w:t>Ancillary Fees</w:t>
            </w:r>
          </w:p>
        </w:tc>
        <w:tc>
          <w:tcPr>
            <w:tcW w:w="2481" w:type="dxa"/>
          </w:tcPr>
          <w:p w:rsidR="008B5412" w:rsidRPr="008B5412" w:rsidRDefault="008B5412" w:rsidP="008B5412">
            <w:pPr>
              <w:spacing w:line="276" w:lineRule="auto"/>
              <w:jc w:val="center"/>
              <w:rPr>
                <w:rFonts w:ascii="Helvetica" w:hAnsi="Helvetica" w:cs="Helvetica"/>
                <w:b/>
              </w:rPr>
            </w:pPr>
            <w:r w:rsidRPr="008B5412">
              <w:rPr>
                <w:rFonts w:ascii="Helvetica" w:hAnsi="Helvetica" w:cs="Helvetica"/>
                <w:b/>
              </w:rPr>
              <w:t>SP 1</w:t>
            </w:r>
            <w:r>
              <w:rPr>
                <w:rFonts w:ascii="Helvetica" w:hAnsi="Helvetica" w:cs="Helvetica"/>
                <w:b/>
              </w:rPr>
              <w:t>2</w:t>
            </w:r>
            <w:r w:rsidRPr="008B5412">
              <w:rPr>
                <w:rFonts w:ascii="Helvetica" w:hAnsi="Helvetica" w:cs="Helvetica"/>
                <w:b/>
              </w:rPr>
              <w:t>.1</w:t>
            </w:r>
            <w:r w:rsidR="00694DFD">
              <w:rPr>
                <w:rFonts w:ascii="Helvetica" w:hAnsi="Helvetica" w:cs="Helvetica"/>
                <w:b/>
              </w:rPr>
              <w:t>(II)</w:t>
            </w:r>
          </w:p>
        </w:tc>
      </w:tr>
    </w:tbl>
    <w:p w:rsidR="008B5412" w:rsidRPr="008B5412" w:rsidRDefault="008B5412" w:rsidP="008B5412">
      <w:pPr>
        <w:rPr>
          <w:rFonts w:ascii="Helvetica" w:hAnsi="Helvetica" w:cs="Helvetica"/>
        </w:rPr>
      </w:pPr>
    </w:p>
    <w:tbl>
      <w:tblPr>
        <w:tblStyle w:val="TableGrid"/>
        <w:tblW w:w="0" w:type="auto"/>
        <w:tblInd w:w="2235" w:type="dxa"/>
        <w:tblLook w:val="04A0" w:firstRow="1" w:lastRow="0" w:firstColumn="1" w:lastColumn="0" w:noHBand="0" w:noVBand="1"/>
      </w:tblPr>
      <w:tblGrid>
        <w:gridCol w:w="4961"/>
      </w:tblGrid>
      <w:tr w:rsidR="008B5412" w:rsidRPr="00783235" w:rsidTr="00465BB8">
        <w:tc>
          <w:tcPr>
            <w:tcW w:w="4961" w:type="dxa"/>
          </w:tcPr>
          <w:p w:rsidR="008B5412" w:rsidRPr="00783235" w:rsidRDefault="008B5412" w:rsidP="00465BB8">
            <w:pPr>
              <w:spacing w:line="276" w:lineRule="auto"/>
              <w:jc w:val="center"/>
              <w:rPr>
                <w:rFonts w:ascii="Helvetica" w:hAnsi="Helvetica" w:cs="Helvetica"/>
                <w:b/>
              </w:rPr>
            </w:pPr>
            <w:r w:rsidRPr="00783235">
              <w:rPr>
                <w:rFonts w:ascii="Helvetica" w:hAnsi="Helvetica" w:cs="Helvetica"/>
                <w:b/>
              </w:rPr>
              <w:t>Legislative History</w:t>
            </w:r>
          </w:p>
        </w:tc>
      </w:tr>
      <w:tr w:rsidR="008B5412" w:rsidRPr="00783235" w:rsidTr="00465BB8">
        <w:tc>
          <w:tcPr>
            <w:tcW w:w="4961" w:type="dxa"/>
          </w:tcPr>
          <w:p w:rsidR="008B5412" w:rsidRPr="00783235" w:rsidRDefault="008B5412" w:rsidP="00465BB8">
            <w:pPr>
              <w:spacing w:line="276" w:lineRule="auto"/>
              <w:jc w:val="center"/>
              <w:rPr>
                <w:rFonts w:ascii="Helvetica" w:hAnsi="Helvetica" w:cs="Helvetica"/>
              </w:rPr>
            </w:pPr>
            <w:r w:rsidRPr="00783235">
              <w:rPr>
                <w:rFonts w:ascii="Helvetica" w:hAnsi="Helvetica" w:cs="Helvetica"/>
              </w:rPr>
              <w:t>Approved by Council in October 201</w:t>
            </w:r>
            <w:r>
              <w:rPr>
                <w:rFonts w:ascii="Helvetica" w:hAnsi="Helvetica" w:cs="Helvetica"/>
              </w:rPr>
              <w:t>2</w:t>
            </w:r>
          </w:p>
        </w:tc>
      </w:tr>
      <w:tr w:rsidR="008B5412" w:rsidRPr="00783235" w:rsidTr="00465BB8">
        <w:tc>
          <w:tcPr>
            <w:tcW w:w="4961" w:type="dxa"/>
          </w:tcPr>
          <w:p w:rsidR="008B5412" w:rsidRPr="00783235" w:rsidRDefault="008B5412" w:rsidP="00465BB8">
            <w:pPr>
              <w:spacing w:line="276" w:lineRule="auto"/>
              <w:jc w:val="center"/>
              <w:rPr>
                <w:rFonts w:ascii="Helvetica" w:hAnsi="Helvetica" w:cs="Helvetica"/>
              </w:rPr>
            </w:pPr>
            <w:r w:rsidRPr="00783235">
              <w:rPr>
                <w:rFonts w:ascii="Helvetica" w:hAnsi="Helvetica" w:cs="Helvetica"/>
              </w:rPr>
              <w:t xml:space="preserve">To be reviewed by Council in </w:t>
            </w:r>
            <w:r>
              <w:rPr>
                <w:rFonts w:ascii="Helvetica" w:hAnsi="Helvetica" w:cs="Helvetica"/>
              </w:rPr>
              <w:t>its 2015-2016 sitting</w:t>
            </w:r>
          </w:p>
        </w:tc>
      </w:tr>
      <w:tr w:rsidR="008B5412" w:rsidRPr="00783235" w:rsidTr="00465BB8">
        <w:tc>
          <w:tcPr>
            <w:tcW w:w="4961" w:type="dxa"/>
          </w:tcPr>
          <w:p w:rsidR="008B5412" w:rsidRPr="00783235" w:rsidRDefault="008B5412" w:rsidP="00465BB8">
            <w:pPr>
              <w:jc w:val="center"/>
              <w:rPr>
                <w:rFonts w:ascii="Helvetica" w:hAnsi="Helvetica" w:cs="Helvetica"/>
              </w:rPr>
            </w:pPr>
            <w:r>
              <w:rPr>
                <w:rFonts w:ascii="Helvetica" w:hAnsi="Helvetica" w:cs="Helvetica"/>
              </w:rPr>
              <w:t>Approved by Council in January 2016</w:t>
            </w:r>
            <w:r w:rsidR="00400224">
              <w:rPr>
                <w:rFonts w:ascii="Helvetica" w:hAnsi="Helvetica" w:cs="Helvetica"/>
              </w:rPr>
              <w:t xml:space="preserve"> (tentative)</w:t>
            </w:r>
          </w:p>
        </w:tc>
      </w:tr>
      <w:tr w:rsidR="008B5412" w:rsidRPr="00783235" w:rsidTr="00465BB8">
        <w:tc>
          <w:tcPr>
            <w:tcW w:w="4961" w:type="dxa"/>
          </w:tcPr>
          <w:p w:rsidR="008B5412" w:rsidRDefault="008B5412" w:rsidP="00465BB8">
            <w:pPr>
              <w:jc w:val="center"/>
              <w:rPr>
                <w:rFonts w:ascii="Helvetica" w:hAnsi="Helvetica" w:cs="Helvetica"/>
              </w:rPr>
            </w:pPr>
            <w:r>
              <w:rPr>
                <w:rFonts w:ascii="Helvetica" w:hAnsi="Helvetica" w:cs="Helvetica"/>
              </w:rPr>
              <w:t>To be reviewed by Council in its 2019-2020 sitting</w:t>
            </w:r>
          </w:p>
        </w:tc>
      </w:tr>
    </w:tbl>
    <w:p w:rsidR="008B5412" w:rsidRPr="00783235" w:rsidRDefault="008B5412" w:rsidP="008B5412">
      <w:pPr>
        <w:rPr>
          <w:rFonts w:ascii="Helvetica" w:hAnsi="Helvetica" w:cs="Helvetica"/>
        </w:rPr>
      </w:pPr>
    </w:p>
    <w:tbl>
      <w:tblPr>
        <w:tblStyle w:val="TableGrid"/>
        <w:tblpPr w:leftFromText="180" w:rightFromText="180" w:vertAnchor="text" w:tblpY="92"/>
        <w:tblW w:w="0" w:type="auto"/>
        <w:tblLook w:val="04A0" w:firstRow="1" w:lastRow="0" w:firstColumn="1" w:lastColumn="0" w:noHBand="0" w:noVBand="1"/>
      </w:tblPr>
      <w:tblGrid>
        <w:gridCol w:w="4788"/>
        <w:gridCol w:w="4788"/>
      </w:tblGrid>
      <w:tr w:rsidR="008B5412" w:rsidRPr="00783235" w:rsidTr="00465BB8">
        <w:tc>
          <w:tcPr>
            <w:tcW w:w="4788" w:type="dxa"/>
          </w:tcPr>
          <w:p w:rsidR="008B5412" w:rsidRPr="00783235" w:rsidRDefault="008B5412" w:rsidP="00465BB8">
            <w:pPr>
              <w:spacing w:line="276" w:lineRule="auto"/>
              <w:jc w:val="center"/>
              <w:rPr>
                <w:rFonts w:ascii="Helvetica" w:hAnsi="Helvetica" w:cs="Helvetica"/>
                <w:b/>
              </w:rPr>
            </w:pPr>
            <w:r w:rsidRPr="00783235">
              <w:rPr>
                <w:rFonts w:ascii="Helvetica" w:hAnsi="Helvetica" w:cs="Helvetica"/>
                <w:b/>
              </w:rPr>
              <w:t>Original Author</w:t>
            </w:r>
            <w:r>
              <w:rPr>
                <w:rFonts w:ascii="Helvetica" w:hAnsi="Helvetica" w:cs="Helvetica"/>
                <w:b/>
              </w:rPr>
              <w:t>(</w:t>
            </w:r>
            <w:r w:rsidRPr="00783235">
              <w:rPr>
                <w:rFonts w:ascii="Helvetica" w:hAnsi="Helvetica" w:cs="Helvetica"/>
                <w:b/>
              </w:rPr>
              <w:t>s</w:t>
            </w:r>
            <w:r>
              <w:rPr>
                <w:rFonts w:ascii="Helvetica" w:hAnsi="Helvetica" w:cs="Helvetica"/>
                <w:b/>
              </w:rPr>
              <w:t>)</w:t>
            </w:r>
          </w:p>
        </w:tc>
        <w:tc>
          <w:tcPr>
            <w:tcW w:w="4788" w:type="dxa"/>
          </w:tcPr>
          <w:p w:rsidR="008B5412" w:rsidRPr="00783235" w:rsidRDefault="008B5412" w:rsidP="00465BB8">
            <w:pPr>
              <w:spacing w:line="276" w:lineRule="auto"/>
              <w:jc w:val="center"/>
              <w:rPr>
                <w:rFonts w:ascii="Helvetica" w:hAnsi="Helvetica" w:cs="Helvetica"/>
                <w:b/>
              </w:rPr>
            </w:pPr>
            <w:r w:rsidRPr="00783235">
              <w:rPr>
                <w:rFonts w:ascii="Helvetica" w:hAnsi="Helvetica" w:cs="Helvetica"/>
                <w:b/>
              </w:rPr>
              <w:t>Author</w:t>
            </w:r>
            <w:r>
              <w:rPr>
                <w:rFonts w:ascii="Helvetica" w:hAnsi="Helvetica" w:cs="Helvetica"/>
                <w:b/>
              </w:rPr>
              <w:t>(</w:t>
            </w:r>
            <w:r w:rsidRPr="00783235">
              <w:rPr>
                <w:rFonts w:ascii="Helvetica" w:hAnsi="Helvetica" w:cs="Helvetica"/>
                <w:b/>
              </w:rPr>
              <w:t>s</w:t>
            </w:r>
            <w:r>
              <w:rPr>
                <w:rFonts w:ascii="Helvetica" w:hAnsi="Helvetica" w:cs="Helvetica"/>
                <w:b/>
              </w:rPr>
              <w:t>)</w:t>
            </w:r>
            <w:r w:rsidRPr="00783235">
              <w:rPr>
                <w:rFonts w:ascii="Helvetica" w:hAnsi="Helvetica" w:cs="Helvetica"/>
                <w:b/>
              </w:rPr>
              <w:t xml:space="preserve"> of Renewed Paper</w:t>
            </w:r>
          </w:p>
        </w:tc>
      </w:tr>
      <w:tr w:rsidR="008B5412" w:rsidRPr="00783235" w:rsidTr="00465BB8">
        <w:tc>
          <w:tcPr>
            <w:tcW w:w="4788" w:type="dxa"/>
          </w:tcPr>
          <w:p w:rsidR="008B5412" w:rsidRPr="002043C8" w:rsidRDefault="008B5412" w:rsidP="00465BB8">
            <w:pPr>
              <w:spacing w:line="276" w:lineRule="auto"/>
              <w:jc w:val="center"/>
              <w:rPr>
                <w:rFonts w:ascii="Helvetica" w:hAnsi="Helvetica" w:cs="Helvetica"/>
              </w:rPr>
            </w:pPr>
            <w:r>
              <w:rPr>
                <w:rFonts w:ascii="Helvetica" w:hAnsi="Helvetica" w:cs="Helvetica"/>
              </w:rPr>
              <w:t>Amy Wood</w:t>
            </w:r>
            <w:r>
              <w:rPr>
                <w:rFonts w:ascii="Helvetica" w:hAnsi="Helvetica" w:cs="Helvetica"/>
              </w:rPr>
              <w:br/>
              <w:t>External Affairs Coordinator</w:t>
            </w:r>
            <w:r w:rsidRPr="00783235">
              <w:rPr>
                <w:rFonts w:ascii="Helvetica" w:hAnsi="Helvetica" w:cs="Helvetica"/>
              </w:rPr>
              <w:br/>
              <w:t>University Students’ Council</w:t>
            </w:r>
            <w:r>
              <w:rPr>
                <w:rFonts w:ascii="Helvetica" w:hAnsi="Helvetica" w:cs="Helvetica"/>
              </w:rPr>
              <w:br/>
            </w:r>
            <w:r>
              <w:rPr>
                <w:rFonts w:ascii="Helvetica" w:hAnsi="Helvetica" w:cs="Helvetica"/>
              </w:rPr>
              <w:br/>
            </w:r>
            <w:r>
              <w:rPr>
                <w:rFonts w:ascii="Helvetica" w:hAnsi="Helvetica" w:cs="Helvetica"/>
                <w:i/>
              </w:rPr>
              <w:t>with files from</w:t>
            </w:r>
            <w:r>
              <w:rPr>
                <w:rFonts w:ascii="Helvetica" w:hAnsi="Helvetica" w:cs="Helvetica"/>
              </w:rPr>
              <w:br/>
              <w:t>Mandy van Waes</w:t>
            </w:r>
            <w:r>
              <w:rPr>
                <w:rFonts w:ascii="Helvetica" w:hAnsi="Helvetica" w:cs="Helvetica"/>
              </w:rPr>
              <w:br/>
              <w:t>Research and Policy Intern</w:t>
            </w:r>
            <w:r>
              <w:rPr>
                <w:rFonts w:ascii="Helvetica" w:hAnsi="Helvetica" w:cs="Helvetica"/>
              </w:rPr>
              <w:br/>
              <w:t>University Students’ Council</w:t>
            </w:r>
          </w:p>
        </w:tc>
        <w:tc>
          <w:tcPr>
            <w:tcW w:w="4788" w:type="dxa"/>
          </w:tcPr>
          <w:p w:rsidR="008B5412" w:rsidRPr="008B5412" w:rsidRDefault="008B5412" w:rsidP="008B5412">
            <w:pPr>
              <w:spacing w:line="276" w:lineRule="auto"/>
              <w:jc w:val="center"/>
              <w:rPr>
                <w:rFonts w:ascii="Helvetica" w:hAnsi="Helvetica" w:cs="Helvetica"/>
              </w:rPr>
            </w:pPr>
            <w:r>
              <w:rPr>
                <w:rFonts w:ascii="Helvetica" w:hAnsi="Helvetica" w:cs="Helvetica"/>
              </w:rPr>
              <w:t>Alex Benac</w:t>
            </w:r>
            <w:r>
              <w:rPr>
                <w:rFonts w:ascii="Helvetica" w:hAnsi="Helvetica" w:cs="Helvetica"/>
              </w:rPr>
              <w:br/>
              <w:t>Vice-President Internal</w:t>
            </w:r>
            <w:r>
              <w:rPr>
                <w:rFonts w:ascii="Helvetica" w:hAnsi="Helvetica" w:cs="Helvetica"/>
              </w:rPr>
              <w:br/>
              <w:t>University Students’ Council</w:t>
            </w:r>
          </w:p>
        </w:tc>
      </w:tr>
    </w:tbl>
    <w:p w:rsidR="008B5412" w:rsidRPr="00783235" w:rsidRDefault="008B5412" w:rsidP="008B5412">
      <w:pPr>
        <w:rPr>
          <w:rFonts w:ascii="Helvetica" w:hAnsi="Helvetica" w:cs="Helvetica"/>
        </w:rPr>
      </w:pPr>
    </w:p>
    <w:p w:rsidR="008B5412" w:rsidRPr="008B5412" w:rsidRDefault="008B5412" w:rsidP="008B5412">
      <w:pPr>
        <w:rPr>
          <w:rFonts w:ascii="Helvetica" w:hAnsi="Helvetica" w:cs="Helvetica"/>
        </w:rPr>
      </w:pPr>
    </w:p>
    <w:p w:rsidR="008B5412" w:rsidRPr="008B5412" w:rsidRDefault="008B5412">
      <w:pPr>
        <w:rPr>
          <w:rFonts w:ascii="Helvetica" w:hAnsi="Helvetica" w:cs="Helvetica"/>
        </w:rPr>
      </w:pPr>
      <w:r w:rsidRPr="008B5412">
        <w:rPr>
          <w:rFonts w:ascii="Helvetica" w:hAnsi="Helvetica" w:cs="Helvetica"/>
          <w:b/>
        </w:rPr>
        <w:br w:type="page"/>
      </w:r>
    </w:p>
    <w:sdt>
      <w:sdtPr>
        <w:rPr>
          <w:rFonts w:ascii="Helvetica" w:eastAsiaTheme="minorEastAsia" w:hAnsi="Helvetica" w:cs="Helvetica"/>
          <w:b w:val="0"/>
          <w:bCs w:val="0"/>
          <w:color w:val="auto"/>
          <w:sz w:val="22"/>
          <w:szCs w:val="22"/>
          <w:lang w:val="en-CA" w:eastAsia="ja-JP"/>
        </w:rPr>
        <w:id w:val="1938939017"/>
        <w:docPartObj>
          <w:docPartGallery w:val="Table of Contents"/>
          <w:docPartUnique/>
        </w:docPartObj>
      </w:sdtPr>
      <w:sdtEndPr/>
      <w:sdtContent>
        <w:p w:rsidR="008B5412" w:rsidRPr="008B5412" w:rsidRDefault="008B5412" w:rsidP="008B5412">
          <w:pPr>
            <w:pStyle w:val="TOCHeading"/>
            <w:rPr>
              <w:rFonts w:ascii="Helvetica" w:hAnsi="Helvetica" w:cs="Helvetica"/>
              <w:color w:val="auto"/>
            </w:rPr>
          </w:pPr>
          <w:r w:rsidRPr="008B5412">
            <w:rPr>
              <w:rFonts w:ascii="Helvetica" w:hAnsi="Helvetica" w:cs="Helvetica"/>
              <w:color w:val="auto"/>
              <w:sz w:val="32"/>
            </w:rPr>
            <w:t>Contents</w:t>
          </w:r>
        </w:p>
        <w:p w:rsidR="00694DFD" w:rsidRDefault="005F0B14" w:rsidP="008B5412">
          <w:pPr>
            <w:pStyle w:val="TOC2"/>
            <w:tabs>
              <w:tab w:val="right" w:leader="dot" w:pos="9350"/>
            </w:tabs>
            <w:rPr>
              <w:noProof/>
            </w:rPr>
          </w:pPr>
          <w:r w:rsidRPr="008B5412">
            <w:rPr>
              <w:rFonts w:ascii="Helvetica" w:hAnsi="Helvetica" w:cs="Helvetica"/>
            </w:rPr>
            <w:fldChar w:fldCharType="begin"/>
          </w:r>
          <w:r w:rsidR="008B5412" w:rsidRPr="008B5412">
            <w:rPr>
              <w:rFonts w:ascii="Helvetica" w:hAnsi="Helvetica" w:cs="Helvetica"/>
            </w:rPr>
            <w:instrText xml:space="preserve"> TOC \o "1-3" \h \z \u </w:instrText>
          </w:r>
          <w:r w:rsidRPr="008B5412">
            <w:rPr>
              <w:rFonts w:ascii="Helvetica" w:hAnsi="Helvetica" w:cs="Helvetica"/>
            </w:rPr>
            <w:fldChar w:fldCharType="separate"/>
          </w:r>
        </w:p>
        <w:p w:rsidR="00694DFD" w:rsidRDefault="00F73995">
          <w:pPr>
            <w:pStyle w:val="TOC2"/>
            <w:tabs>
              <w:tab w:val="right" w:leader="dot" w:pos="9350"/>
            </w:tabs>
            <w:rPr>
              <w:noProof/>
            </w:rPr>
          </w:pPr>
          <w:hyperlink w:anchor="_Toc439780887" w:history="1">
            <w:r w:rsidR="00694DFD" w:rsidRPr="0076064D">
              <w:rPr>
                <w:rStyle w:val="Hyperlink"/>
                <w:rFonts w:ascii="Helvetica" w:hAnsi="Helvetica" w:cs="Helvetica"/>
                <w:noProof/>
              </w:rPr>
              <w:t>Introduction and Overview</w:t>
            </w:r>
            <w:r w:rsidR="00694DFD">
              <w:rPr>
                <w:noProof/>
                <w:webHidden/>
              </w:rPr>
              <w:tab/>
            </w:r>
            <w:r w:rsidR="005F0B14">
              <w:rPr>
                <w:noProof/>
                <w:webHidden/>
              </w:rPr>
              <w:fldChar w:fldCharType="begin"/>
            </w:r>
            <w:r w:rsidR="00694DFD">
              <w:rPr>
                <w:noProof/>
                <w:webHidden/>
              </w:rPr>
              <w:instrText xml:space="preserve"> PAGEREF _Toc439780887 \h </w:instrText>
            </w:r>
            <w:r w:rsidR="005F0B14">
              <w:rPr>
                <w:noProof/>
                <w:webHidden/>
              </w:rPr>
            </w:r>
            <w:r w:rsidR="005F0B14">
              <w:rPr>
                <w:noProof/>
                <w:webHidden/>
              </w:rPr>
              <w:fldChar w:fldCharType="separate"/>
            </w:r>
            <w:r w:rsidR="00E4022B">
              <w:rPr>
                <w:noProof/>
                <w:webHidden/>
              </w:rPr>
              <w:t>3</w:t>
            </w:r>
            <w:r w:rsidR="005F0B14">
              <w:rPr>
                <w:noProof/>
                <w:webHidden/>
              </w:rPr>
              <w:fldChar w:fldCharType="end"/>
            </w:r>
          </w:hyperlink>
        </w:p>
        <w:p w:rsidR="00694DFD" w:rsidRDefault="00F73995">
          <w:pPr>
            <w:pStyle w:val="TOC2"/>
            <w:tabs>
              <w:tab w:val="right" w:leader="dot" w:pos="9350"/>
            </w:tabs>
            <w:rPr>
              <w:noProof/>
            </w:rPr>
          </w:pPr>
          <w:hyperlink w:anchor="_Toc439780888" w:history="1">
            <w:r w:rsidR="00694DFD" w:rsidRPr="0076064D">
              <w:rPr>
                <w:rStyle w:val="Hyperlink"/>
                <w:rFonts w:ascii="Helvetica" w:hAnsi="Helvetica" w:cs="Helvetica"/>
                <w:noProof/>
              </w:rPr>
              <w:t>Recommendation 1.</w:t>
            </w:r>
            <w:r w:rsidR="00694DFD">
              <w:rPr>
                <w:noProof/>
                <w:webHidden/>
              </w:rPr>
              <w:tab/>
            </w:r>
            <w:r w:rsidR="005F0B14">
              <w:rPr>
                <w:noProof/>
                <w:webHidden/>
              </w:rPr>
              <w:fldChar w:fldCharType="begin"/>
            </w:r>
            <w:r w:rsidR="00694DFD">
              <w:rPr>
                <w:noProof/>
                <w:webHidden/>
              </w:rPr>
              <w:instrText xml:space="preserve"> PAGEREF _Toc439780888 \h </w:instrText>
            </w:r>
            <w:r w:rsidR="005F0B14">
              <w:rPr>
                <w:noProof/>
                <w:webHidden/>
              </w:rPr>
            </w:r>
            <w:r w:rsidR="005F0B14">
              <w:rPr>
                <w:noProof/>
                <w:webHidden/>
              </w:rPr>
              <w:fldChar w:fldCharType="separate"/>
            </w:r>
            <w:r w:rsidR="00E4022B">
              <w:rPr>
                <w:noProof/>
                <w:webHidden/>
              </w:rPr>
              <w:t>4</w:t>
            </w:r>
            <w:r w:rsidR="005F0B14">
              <w:rPr>
                <w:noProof/>
                <w:webHidden/>
              </w:rPr>
              <w:fldChar w:fldCharType="end"/>
            </w:r>
          </w:hyperlink>
        </w:p>
        <w:p w:rsidR="00694DFD" w:rsidRDefault="00F73995">
          <w:pPr>
            <w:pStyle w:val="TOC2"/>
            <w:tabs>
              <w:tab w:val="right" w:leader="dot" w:pos="9350"/>
            </w:tabs>
            <w:rPr>
              <w:noProof/>
            </w:rPr>
          </w:pPr>
          <w:hyperlink w:anchor="_Toc439780889" w:history="1">
            <w:r w:rsidR="00694DFD" w:rsidRPr="0076064D">
              <w:rPr>
                <w:rStyle w:val="Hyperlink"/>
                <w:rFonts w:ascii="Helvetica" w:hAnsi="Helvetica" w:cs="Helvetica"/>
                <w:noProof/>
              </w:rPr>
              <w:t>Recommendation 2.</w:t>
            </w:r>
            <w:r w:rsidR="00694DFD">
              <w:rPr>
                <w:noProof/>
                <w:webHidden/>
              </w:rPr>
              <w:tab/>
            </w:r>
            <w:r w:rsidR="005F0B14">
              <w:rPr>
                <w:noProof/>
                <w:webHidden/>
              </w:rPr>
              <w:fldChar w:fldCharType="begin"/>
            </w:r>
            <w:r w:rsidR="00694DFD">
              <w:rPr>
                <w:noProof/>
                <w:webHidden/>
              </w:rPr>
              <w:instrText xml:space="preserve"> PAGEREF _Toc439780889 \h </w:instrText>
            </w:r>
            <w:r w:rsidR="005F0B14">
              <w:rPr>
                <w:noProof/>
                <w:webHidden/>
              </w:rPr>
            </w:r>
            <w:r w:rsidR="005F0B14">
              <w:rPr>
                <w:noProof/>
                <w:webHidden/>
              </w:rPr>
              <w:fldChar w:fldCharType="separate"/>
            </w:r>
            <w:r w:rsidR="00E4022B">
              <w:rPr>
                <w:noProof/>
                <w:webHidden/>
              </w:rPr>
              <w:t>5</w:t>
            </w:r>
            <w:r w:rsidR="005F0B14">
              <w:rPr>
                <w:noProof/>
                <w:webHidden/>
              </w:rPr>
              <w:fldChar w:fldCharType="end"/>
            </w:r>
          </w:hyperlink>
        </w:p>
        <w:p w:rsidR="00694DFD" w:rsidRDefault="00F73995">
          <w:pPr>
            <w:pStyle w:val="TOC2"/>
            <w:tabs>
              <w:tab w:val="right" w:leader="dot" w:pos="9350"/>
            </w:tabs>
            <w:rPr>
              <w:noProof/>
            </w:rPr>
          </w:pPr>
          <w:hyperlink w:anchor="_Toc439780890" w:history="1">
            <w:r w:rsidR="00694DFD" w:rsidRPr="0076064D">
              <w:rPr>
                <w:rStyle w:val="Hyperlink"/>
                <w:rFonts w:ascii="Helvetica" w:hAnsi="Helvetica" w:cs="Helvetica"/>
                <w:noProof/>
              </w:rPr>
              <w:t>Recommendation 3.</w:t>
            </w:r>
            <w:r w:rsidR="00694DFD">
              <w:rPr>
                <w:noProof/>
                <w:webHidden/>
              </w:rPr>
              <w:tab/>
            </w:r>
            <w:r w:rsidR="005F0B14">
              <w:rPr>
                <w:noProof/>
                <w:webHidden/>
              </w:rPr>
              <w:fldChar w:fldCharType="begin"/>
            </w:r>
            <w:r w:rsidR="00694DFD">
              <w:rPr>
                <w:noProof/>
                <w:webHidden/>
              </w:rPr>
              <w:instrText xml:space="preserve"> PAGEREF _Toc439780890 \h </w:instrText>
            </w:r>
            <w:r w:rsidR="005F0B14">
              <w:rPr>
                <w:noProof/>
                <w:webHidden/>
              </w:rPr>
            </w:r>
            <w:r w:rsidR="005F0B14">
              <w:rPr>
                <w:noProof/>
                <w:webHidden/>
              </w:rPr>
              <w:fldChar w:fldCharType="separate"/>
            </w:r>
            <w:r w:rsidR="00E4022B">
              <w:rPr>
                <w:noProof/>
                <w:webHidden/>
              </w:rPr>
              <w:t>6</w:t>
            </w:r>
            <w:r w:rsidR="005F0B14">
              <w:rPr>
                <w:noProof/>
                <w:webHidden/>
              </w:rPr>
              <w:fldChar w:fldCharType="end"/>
            </w:r>
          </w:hyperlink>
        </w:p>
        <w:p w:rsidR="00694DFD" w:rsidRDefault="00F73995">
          <w:pPr>
            <w:pStyle w:val="TOC2"/>
            <w:tabs>
              <w:tab w:val="right" w:leader="dot" w:pos="9350"/>
            </w:tabs>
            <w:rPr>
              <w:noProof/>
            </w:rPr>
          </w:pPr>
          <w:hyperlink w:anchor="_Toc439780891" w:history="1">
            <w:r w:rsidR="00694DFD" w:rsidRPr="0076064D">
              <w:rPr>
                <w:rStyle w:val="Hyperlink"/>
                <w:rFonts w:ascii="Helvetica" w:hAnsi="Helvetica" w:cs="Helvetica"/>
                <w:noProof/>
              </w:rPr>
              <w:t>Appendix 1: Western University Ancillary Fee Schedule, 2015-16</w:t>
            </w:r>
            <w:r w:rsidR="00694DFD">
              <w:rPr>
                <w:noProof/>
                <w:webHidden/>
              </w:rPr>
              <w:tab/>
            </w:r>
            <w:r w:rsidR="005F0B14">
              <w:rPr>
                <w:noProof/>
                <w:webHidden/>
              </w:rPr>
              <w:fldChar w:fldCharType="begin"/>
            </w:r>
            <w:r w:rsidR="00694DFD">
              <w:rPr>
                <w:noProof/>
                <w:webHidden/>
              </w:rPr>
              <w:instrText xml:space="preserve"> PAGEREF _Toc439780891 \h </w:instrText>
            </w:r>
            <w:r w:rsidR="005F0B14">
              <w:rPr>
                <w:noProof/>
                <w:webHidden/>
              </w:rPr>
            </w:r>
            <w:r w:rsidR="005F0B14">
              <w:rPr>
                <w:noProof/>
                <w:webHidden/>
              </w:rPr>
              <w:fldChar w:fldCharType="separate"/>
            </w:r>
            <w:r w:rsidR="00E4022B">
              <w:rPr>
                <w:noProof/>
                <w:webHidden/>
              </w:rPr>
              <w:t>7</w:t>
            </w:r>
            <w:r w:rsidR="005F0B14">
              <w:rPr>
                <w:noProof/>
                <w:webHidden/>
              </w:rPr>
              <w:fldChar w:fldCharType="end"/>
            </w:r>
          </w:hyperlink>
        </w:p>
        <w:p w:rsidR="00694DFD" w:rsidRDefault="00F73995">
          <w:pPr>
            <w:pStyle w:val="TOC2"/>
            <w:tabs>
              <w:tab w:val="right" w:leader="dot" w:pos="9350"/>
            </w:tabs>
            <w:rPr>
              <w:noProof/>
            </w:rPr>
          </w:pPr>
          <w:hyperlink w:anchor="_Toc439780892" w:history="1">
            <w:r w:rsidR="00694DFD" w:rsidRPr="0076064D">
              <w:rPr>
                <w:rStyle w:val="Hyperlink"/>
                <w:rFonts w:ascii="Helvetica" w:hAnsi="Helvetica" w:cs="Helvetica"/>
                <w:noProof/>
              </w:rPr>
              <w:t>Appendix 2: University of Western Ontario Ancillary Fee Schedule, 2010-11</w:t>
            </w:r>
            <w:r w:rsidR="00694DFD">
              <w:rPr>
                <w:noProof/>
                <w:webHidden/>
              </w:rPr>
              <w:tab/>
            </w:r>
            <w:r w:rsidR="005F0B14">
              <w:rPr>
                <w:noProof/>
                <w:webHidden/>
              </w:rPr>
              <w:fldChar w:fldCharType="begin"/>
            </w:r>
            <w:r w:rsidR="00694DFD">
              <w:rPr>
                <w:noProof/>
                <w:webHidden/>
              </w:rPr>
              <w:instrText xml:space="preserve"> PAGEREF _Toc439780892 \h </w:instrText>
            </w:r>
            <w:r w:rsidR="005F0B14">
              <w:rPr>
                <w:noProof/>
                <w:webHidden/>
              </w:rPr>
            </w:r>
            <w:r w:rsidR="005F0B14">
              <w:rPr>
                <w:noProof/>
                <w:webHidden/>
              </w:rPr>
              <w:fldChar w:fldCharType="separate"/>
            </w:r>
            <w:r w:rsidR="00E4022B">
              <w:rPr>
                <w:noProof/>
                <w:webHidden/>
              </w:rPr>
              <w:t>8</w:t>
            </w:r>
            <w:r w:rsidR="005F0B14">
              <w:rPr>
                <w:noProof/>
                <w:webHidden/>
              </w:rPr>
              <w:fldChar w:fldCharType="end"/>
            </w:r>
          </w:hyperlink>
        </w:p>
        <w:p w:rsidR="008B5412" w:rsidRPr="008B5412" w:rsidRDefault="005F0B14" w:rsidP="008B5412">
          <w:pPr>
            <w:rPr>
              <w:rFonts w:ascii="Helvetica" w:hAnsi="Helvetica" w:cs="Helvetica"/>
            </w:rPr>
          </w:pPr>
          <w:r w:rsidRPr="008B5412">
            <w:rPr>
              <w:rFonts w:ascii="Helvetica" w:hAnsi="Helvetica" w:cs="Helvetica"/>
            </w:rPr>
            <w:fldChar w:fldCharType="end"/>
          </w:r>
        </w:p>
      </w:sdtContent>
    </w:sdt>
    <w:p w:rsidR="00A816A4" w:rsidRPr="008B5412" w:rsidRDefault="00A816A4" w:rsidP="00D93486">
      <w:pPr>
        <w:rPr>
          <w:rFonts w:ascii="Helvetica" w:hAnsi="Helvetica" w:cs="Helvetica"/>
          <w:b/>
        </w:rPr>
      </w:pPr>
    </w:p>
    <w:p w:rsidR="00D93486" w:rsidRPr="00707B77" w:rsidRDefault="00A816A4" w:rsidP="00707B77">
      <w:pPr>
        <w:rPr>
          <w:rFonts w:ascii="Helvetica" w:hAnsi="Helvetica" w:cs="Helvetica"/>
          <w:b/>
          <w:sz w:val="32"/>
        </w:rPr>
      </w:pPr>
      <w:r w:rsidRPr="008B5412">
        <w:rPr>
          <w:rFonts w:ascii="Helvetica" w:hAnsi="Helvetica" w:cs="Helvetica"/>
          <w:b/>
        </w:rPr>
        <w:br w:type="page"/>
      </w:r>
      <w:bookmarkStart w:id="1" w:name="_Toc439780887"/>
      <w:r w:rsidR="00707B77">
        <w:rPr>
          <w:rFonts w:ascii="Helvetica" w:hAnsi="Helvetica" w:cs="Helvetica"/>
          <w:b/>
          <w:sz w:val="32"/>
        </w:rPr>
        <w:lastRenderedPageBreak/>
        <w:t>I</w:t>
      </w:r>
      <w:r w:rsidR="00D93486" w:rsidRPr="00707B77">
        <w:rPr>
          <w:rFonts w:ascii="Helvetica" w:hAnsi="Helvetica" w:cs="Helvetica"/>
          <w:b/>
          <w:sz w:val="32"/>
        </w:rPr>
        <w:t>ntroduction and Overview</w:t>
      </w:r>
      <w:bookmarkEnd w:id="1"/>
    </w:p>
    <w:p w:rsidR="00D93486" w:rsidRPr="008B5412" w:rsidRDefault="008B5412" w:rsidP="00D93486">
      <w:pPr>
        <w:rPr>
          <w:rFonts w:ascii="Helvetica" w:hAnsi="Helvetica" w:cs="Helvetica"/>
          <w:sz w:val="20"/>
        </w:rPr>
      </w:pPr>
      <w:r>
        <w:rPr>
          <w:rFonts w:ascii="Helvetica" w:hAnsi="Helvetica" w:cs="Helvetica"/>
        </w:rPr>
        <w:br/>
      </w:r>
      <w:r w:rsidR="00962A01" w:rsidRPr="008B5412">
        <w:rPr>
          <w:rFonts w:ascii="Helvetica" w:hAnsi="Helvetica" w:cs="Helvetica"/>
          <w:sz w:val="20"/>
        </w:rPr>
        <w:t xml:space="preserve">In addition to tuition, supplementary, and student donation fees, students enrolled at universities across Ontario pay </w:t>
      </w:r>
      <w:r w:rsidR="00962A01" w:rsidRPr="008B5412">
        <w:rPr>
          <w:rFonts w:ascii="Helvetica" w:hAnsi="Helvetica" w:cs="Helvetica"/>
          <w:b/>
          <w:sz w:val="20"/>
        </w:rPr>
        <w:t>compulsory non-tuition-related ancillary fees</w:t>
      </w:r>
      <w:r w:rsidR="00962A01" w:rsidRPr="008B5412">
        <w:rPr>
          <w:rFonts w:ascii="Helvetica" w:hAnsi="Helvetica" w:cs="Helvetica"/>
          <w:sz w:val="20"/>
        </w:rPr>
        <w:t xml:space="preserve">. These fees, also known as </w:t>
      </w:r>
      <w:r w:rsidR="00962A01" w:rsidRPr="008B5412">
        <w:rPr>
          <w:rFonts w:ascii="Helvetica" w:hAnsi="Helvetica" w:cs="Helvetica"/>
          <w:b/>
          <w:sz w:val="20"/>
        </w:rPr>
        <w:t>ancillary fees</w:t>
      </w:r>
      <w:r w:rsidR="00962A01" w:rsidRPr="008B5412">
        <w:rPr>
          <w:rFonts w:ascii="Helvetica" w:hAnsi="Helvetica" w:cs="Helvetica"/>
          <w:sz w:val="20"/>
        </w:rPr>
        <w:t xml:space="preserve">, </w:t>
      </w:r>
      <w:r w:rsidR="00962A01" w:rsidRPr="008B5412">
        <w:rPr>
          <w:rFonts w:ascii="Helvetica" w:hAnsi="Helvetica" w:cs="Helvetica"/>
          <w:b/>
          <w:sz w:val="20"/>
        </w:rPr>
        <w:t>student fees</w:t>
      </w:r>
      <w:r w:rsidR="00962A01" w:rsidRPr="008B5412">
        <w:rPr>
          <w:rFonts w:ascii="Helvetica" w:hAnsi="Helvetica" w:cs="Helvetica"/>
          <w:sz w:val="20"/>
        </w:rPr>
        <w:t xml:space="preserve">, or </w:t>
      </w:r>
      <w:r w:rsidR="00962A01" w:rsidRPr="008B5412">
        <w:rPr>
          <w:rFonts w:ascii="Helvetica" w:hAnsi="Helvetica" w:cs="Helvetica"/>
          <w:b/>
          <w:sz w:val="20"/>
        </w:rPr>
        <w:t>student ancillary fees</w:t>
      </w:r>
      <w:r w:rsidR="00962A01" w:rsidRPr="008B5412">
        <w:rPr>
          <w:rFonts w:ascii="Helvetica" w:hAnsi="Helvetica" w:cs="Helvetica"/>
          <w:sz w:val="20"/>
        </w:rPr>
        <w:t>, cover c</w:t>
      </w:r>
      <w:r w:rsidR="00EC51DE">
        <w:rPr>
          <w:rFonts w:ascii="Helvetica" w:hAnsi="Helvetica" w:cs="Helvetica"/>
          <w:sz w:val="20"/>
        </w:rPr>
        <w:t>osts associated with services that are either explicitly or implicitly tied to academic success at Western</w:t>
      </w:r>
      <w:r w:rsidR="00962A01" w:rsidRPr="008B5412">
        <w:rPr>
          <w:rFonts w:ascii="Helvetica" w:hAnsi="Helvetica" w:cs="Helvetica"/>
          <w:sz w:val="20"/>
        </w:rPr>
        <w:t xml:space="preserve">. </w:t>
      </w:r>
      <w:r w:rsidR="00604DDB" w:rsidRPr="008B5412">
        <w:rPr>
          <w:rFonts w:ascii="Helvetica" w:hAnsi="Helvetica" w:cs="Helvetica"/>
          <w:sz w:val="20"/>
        </w:rPr>
        <w:t xml:space="preserve"> These fees, governed by the prov</w:t>
      </w:r>
      <w:r w:rsidR="00A05D3B" w:rsidRPr="008B5412">
        <w:rPr>
          <w:rFonts w:ascii="Helvetica" w:hAnsi="Helvetica" w:cs="Helvetica"/>
          <w:sz w:val="20"/>
        </w:rPr>
        <w:t>incial government, represent $103</w:t>
      </w:r>
      <w:r w:rsidR="00604DDB" w:rsidRPr="008B5412">
        <w:rPr>
          <w:rFonts w:ascii="Helvetica" w:hAnsi="Helvetica" w:cs="Helvetica"/>
          <w:sz w:val="20"/>
        </w:rPr>
        <w:t>6.92 in compulsory spending for every full-time</w:t>
      </w:r>
      <w:r w:rsidR="00A05D3B" w:rsidRPr="008B5412">
        <w:rPr>
          <w:rFonts w:ascii="Helvetica" w:hAnsi="Helvetica" w:cs="Helvetica"/>
          <w:sz w:val="20"/>
        </w:rPr>
        <w:t xml:space="preserve"> main campus</w:t>
      </w:r>
      <w:r w:rsidR="00604DDB" w:rsidRPr="008B5412">
        <w:rPr>
          <w:rFonts w:ascii="Helvetica" w:hAnsi="Helvetica" w:cs="Helvetica"/>
          <w:sz w:val="20"/>
        </w:rPr>
        <w:t xml:space="preserve"> student</w:t>
      </w:r>
      <w:r w:rsidR="00A05D3B" w:rsidRPr="008B5412">
        <w:rPr>
          <w:rFonts w:ascii="Helvetica" w:hAnsi="Helvetica" w:cs="Helvetica"/>
          <w:sz w:val="20"/>
        </w:rPr>
        <w:t>. However, the focus of this paper is on a portion of that total: the compulsory $449.52 that each student pays directly to Western University to support the operations of centrally-operated student service units. Those units are:</w:t>
      </w:r>
    </w:p>
    <w:p w:rsidR="00A05D3B" w:rsidRPr="008B5412" w:rsidRDefault="00A05D3B" w:rsidP="00A05D3B">
      <w:pPr>
        <w:pStyle w:val="ListParagraph"/>
        <w:numPr>
          <w:ilvl w:val="0"/>
          <w:numId w:val="2"/>
        </w:numPr>
        <w:rPr>
          <w:rFonts w:ascii="Helvetica" w:hAnsi="Helvetica" w:cs="Helvetica"/>
          <w:sz w:val="20"/>
        </w:rPr>
        <w:sectPr w:rsidR="00A05D3B" w:rsidRPr="008B5412" w:rsidSect="00694DFD">
          <w:footerReference w:type="default" r:id="rId9"/>
          <w:pgSz w:w="12240" w:h="15840"/>
          <w:pgMar w:top="1440" w:right="1440" w:bottom="1440" w:left="1440" w:header="708" w:footer="708" w:gutter="0"/>
          <w:cols w:space="708"/>
          <w:titlePg/>
          <w:docGrid w:linePitch="360"/>
        </w:sectPr>
      </w:pPr>
    </w:p>
    <w:p w:rsidR="00A05D3B" w:rsidRPr="008B5412" w:rsidRDefault="00A05D3B" w:rsidP="00A05D3B">
      <w:pPr>
        <w:pStyle w:val="ListParagraph"/>
        <w:numPr>
          <w:ilvl w:val="0"/>
          <w:numId w:val="2"/>
        </w:numPr>
        <w:rPr>
          <w:rFonts w:ascii="Helvetica" w:hAnsi="Helvetica" w:cs="Helvetica"/>
          <w:sz w:val="20"/>
        </w:rPr>
      </w:pPr>
      <w:r w:rsidRPr="008B5412">
        <w:rPr>
          <w:rFonts w:ascii="Helvetica" w:hAnsi="Helvetica" w:cs="Helvetica"/>
          <w:sz w:val="20"/>
        </w:rPr>
        <w:lastRenderedPageBreak/>
        <w:t>Campus Recreation</w:t>
      </w:r>
    </w:p>
    <w:p w:rsidR="00A05D3B" w:rsidRPr="008B5412" w:rsidRDefault="00A05D3B" w:rsidP="00A05D3B">
      <w:pPr>
        <w:pStyle w:val="ListParagraph"/>
        <w:numPr>
          <w:ilvl w:val="0"/>
          <w:numId w:val="2"/>
        </w:numPr>
        <w:rPr>
          <w:rFonts w:ascii="Helvetica" w:hAnsi="Helvetica" w:cs="Helvetica"/>
          <w:sz w:val="20"/>
        </w:rPr>
      </w:pPr>
      <w:r w:rsidRPr="008B5412">
        <w:rPr>
          <w:rFonts w:ascii="Helvetica" w:hAnsi="Helvetica" w:cs="Helvetica"/>
          <w:sz w:val="20"/>
        </w:rPr>
        <w:t>Intercollegiate Athletics</w:t>
      </w:r>
    </w:p>
    <w:p w:rsidR="00A05D3B" w:rsidRPr="008B5412" w:rsidRDefault="00A05D3B" w:rsidP="00A05D3B">
      <w:pPr>
        <w:pStyle w:val="ListParagraph"/>
        <w:numPr>
          <w:ilvl w:val="0"/>
          <w:numId w:val="2"/>
        </w:numPr>
        <w:rPr>
          <w:rFonts w:ascii="Helvetica" w:hAnsi="Helvetica" w:cs="Helvetica"/>
          <w:sz w:val="20"/>
        </w:rPr>
      </w:pPr>
      <w:r w:rsidRPr="008B5412">
        <w:rPr>
          <w:rFonts w:ascii="Helvetica" w:hAnsi="Helvetica" w:cs="Helvetica"/>
          <w:sz w:val="20"/>
        </w:rPr>
        <w:t>Thompson Recreation &amp; Athletic Centre</w:t>
      </w:r>
    </w:p>
    <w:p w:rsidR="00A05D3B" w:rsidRPr="008B5412" w:rsidRDefault="00A05D3B" w:rsidP="00A05D3B">
      <w:pPr>
        <w:pStyle w:val="ListParagraph"/>
        <w:numPr>
          <w:ilvl w:val="0"/>
          <w:numId w:val="2"/>
        </w:numPr>
        <w:rPr>
          <w:rFonts w:ascii="Helvetica" w:hAnsi="Helvetica" w:cs="Helvetica"/>
          <w:sz w:val="20"/>
        </w:rPr>
      </w:pPr>
      <w:r w:rsidRPr="008B5412">
        <w:rPr>
          <w:rFonts w:ascii="Helvetica" w:hAnsi="Helvetica" w:cs="Helvetica"/>
          <w:sz w:val="20"/>
        </w:rPr>
        <w:t>Financial Aid Office</w:t>
      </w:r>
    </w:p>
    <w:p w:rsidR="00A05D3B" w:rsidRPr="008B5412" w:rsidRDefault="00A05D3B" w:rsidP="00A05D3B">
      <w:pPr>
        <w:pStyle w:val="ListParagraph"/>
        <w:numPr>
          <w:ilvl w:val="0"/>
          <w:numId w:val="2"/>
        </w:numPr>
        <w:rPr>
          <w:rFonts w:ascii="Helvetica" w:hAnsi="Helvetica" w:cs="Helvetica"/>
          <w:sz w:val="20"/>
        </w:rPr>
      </w:pPr>
      <w:r w:rsidRPr="008B5412">
        <w:rPr>
          <w:rFonts w:ascii="Helvetica" w:hAnsi="Helvetica" w:cs="Helvetica"/>
          <w:sz w:val="20"/>
        </w:rPr>
        <w:t>International Student Services</w:t>
      </w:r>
    </w:p>
    <w:p w:rsidR="00A05D3B" w:rsidRPr="008B5412" w:rsidRDefault="00A05D3B" w:rsidP="00A05D3B">
      <w:pPr>
        <w:pStyle w:val="ListParagraph"/>
        <w:numPr>
          <w:ilvl w:val="0"/>
          <w:numId w:val="2"/>
        </w:numPr>
        <w:rPr>
          <w:rFonts w:ascii="Helvetica" w:hAnsi="Helvetica" w:cs="Helvetica"/>
          <w:sz w:val="20"/>
        </w:rPr>
      </w:pPr>
      <w:r w:rsidRPr="008B5412">
        <w:rPr>
          <w:rFonts w:ascii="Helvetica" w:hAnsi="Helvetica" w:cs="Helvetica"/>
          <w:sz w:val="20"/>
        </w:rPr>
        <w:t>Services for Students with Disabilities</w:t>
      </w:r>
    </w:p>
    <w:p w:rsidR="00A05D3B" w:rsidRPr="008B5412" w:rsidRDefault="00A05D3B" w:rsidP="00A05D3B">
      <w:pPr>
        <w:pStyle w:val="ListParagraph"/>
        <w:numPr>
          <w:ilvl w:val="0"/>
          <w:numId w:val="2"/>
        </w:numPr>
        <w:rPr>
          <w:rFonts w:ascii="Helvetica" w:hAnsi="Helvetica" w:cs="Helvetica"/>
          <w:sz w:val="20"/>
        </w:rPr>
      </w:pPr>
      <w:r w:rsidRPr="008B5412">
        <w:rPr>
          <w:rFonts w:ascii="Helvetica" w:hAnsi="Helvetica" w:cs="Helvetica"/>
          <w:sz w:val="20"/>
        </w:rPr>
        <w:lastRenderedPageBreak/>
        <w:t>Student Development Centre</w:t>
      </w:r>
    </w:p>
    <w:p w:rsidR="00A05D3B" w:rsidRPr="008B5412" w:rsidRDefault="00A05D3B" w:rsidP="00A05D3B">
      <w:pPr>
        <w:pStyle w:val="ListParagraph"/>
        <w:numPr>
          <w:ilvl w:val="0"/>
          <w:numId w:val="2"/>
        </w:numPr>
        <w:rPr>
          <w:rFonts w:ascii="Helvetica" w:hAnsi="Helvetica" w:cs="Helvetica"/>
          <w:sz w:val="20"/>
        </w:rPr>
      </w:pPr>
      <w:r w:rsidRPr="008B5412">
        <w:rPr>
          <w:rFonts w:ascii="Helvetica" w:hAnsi="Helvetica" w:cs="Helvetica"/>
          <w:sz w:val="20"/>
        </w:rPr>
        <w:t>Student Success Centre</w:t>
      </w:r>
    </w:p>
    <w:p w:rsidR="00A05D3B" w:rsidRPr="008B5412" w:rsidRDefault="00A05D3B" w:rsidP="00A05D3B">
      <w:pPr>
        <w:pStyle w:val="ListParagraph"/>
        <w:numPr>
          <w:ilvl w:val="0"/>
          <w:numId w:val="2"/>
        </w:numPr>
        <w:rPr>
          <w:rFonts w:ascii="Helvetica" w:hAnsi="Helvetica" w:cs="Helvetica"/>
          <w:sz w:val="20"/>
        </w:rPr>
      </w:pPr>
      <w:r w:rsidRPr="008B5412">
        <w:rPr>
          <w:rFonts w:ascii="Helvetica" w:hAnsi="Helvetica" w:cs="Helvetica"/>
          <w:sz w:val="20"/>
        </w:rPr>
        <w:t>Student Health Services</w:t>
      </w:r>
    </w:p>
    <w:p w:rsidR="00A05D3B" w:rsidRPr="008B5412" w:rsidRDefault="00A05D3B" w:rsidP="00A05D3B">
      <w:pPr>
        <w:pStyle w:val="ListParagraph"/>
        <w:numPr>
          <w:ilvl w:val="0"/>
          <w:numId w:val="2"/>
        </w:numPr>
        <w:rPr>
          <w:rFonts w:ascii="Helvetica" w:hAnsi="Helvetica" w:cs="Helvetica"/>
          <w:sz w:val="20"/>
        </w:rPr>
      </w:pPr>
      <w:r w:rsidRPr="008B5412">
        <w:rPr>
          <w:rFonts w:ascii="Helvetica" w:hAnsi="Helvetica" w:cs="Helvetica"/>
          <w:sz w:val="20"/>
        </w:rPr>
        <w:t>Off-Campus Housing &amp; Mediation</w:t>
      </w:r>
    </w:p>
    <w:p w:rsidR="008236A1" w:rsidRPr="008B5412" w:rsidRDefault="00A05D3B" w:rsidP="008236A1">
      <w:pPr>
        <w:pStyle w:val="ListParagraph"/>
        <w:numPr>
          <w:ilvl w:val="0"/>
          <w:numId w:val="2"/>
        </w:numPr>
        <w:rPr>
          <w:rFonts w:ascii="Helvetica" w:hAnsi="Helvetica" w:cs="Helvetica"/>
          <w:sz w:val="20"/>
        </w:rPr>
        <w:sectPr w:rsidR="008236A1" w:rsidRPr="008B5412" w:rsidSect="00A05D3B">
          <w:type w:val="continuous"/>
          <w:pgSz w:w="12240" w:h="15840"/>
          <w:pgMar w:top="1440" w:right="1440" w:bottom="1440" w:left="1440" w:header="708" w:footer="708" w:gutter="0"/>
          <w:cols w:num="2" w:space="708"/>
          <w:docGrid w:linePitch="360"/>
        </w:sectPr>
      </w:pPr>
      <w:r w:rsidRPr="008B5412">
        <w:rPr>
          <w:rFonts w:ascii="Helvetica" w:hAnsi="Helvetica" w:cs="Helvetica"/>
          <w:sz w:val="20"/>
        </w:rPr>
        <w:t>Western Foot Patrol</w:t>
      </w:r>
    </w:p>
    <w:p w:rsidR="008236A1" w:rsidRPr="008B5412" w:rsidRDefault="008236A1" w:rsidP="008236A1">
      <w:pPr>
        <w:rPr>
          <w:rFonts w:ascii="Helvetica" w:hAnsi="Helvetica" w:cs="Helvetica"/>
          <w:sz w:val="20"/>
        </w:rPr>
        <w:sectPr w:rsidR="008236A1" w:rsidRPr="008B5412" w:rsidSect="008236A1">
          <w:type w:val="continuous"/>
          <w:pgSz w:w="12240" w:h="15840"/>
          <w:pgMar w:top="1440" w:right="1440" w:bottom="1440" w:left="1440" w:header="708" w:footer="708" w:gutter="0"/>
          <w:cols w:space="708"/>
          <w:docGrid w:linePitch="360"/>
        </w:sectPr>
      </w:pPr>
      <w:r w:rsidRPr="008B5412">
        <w:rPr>
          <w:rFonts w:ascii="Helvetica" w:hAnsi="Helvetica" w:cs="Helvetica"/>
          <w:sz w:val="20"/>
        </w:rPr>
        <w:lastRenderedPageBreak/>
        <w:br/>
        <w:t>Students should never be seen as a means to a financial end. As the primary stakeholders in our Western experience, we should be active participants in conversations about how student ancillary fees are utilized. This paper offers recommendations that seek to improve the fair and decent governance of student dollars and the way in which the institution shares the costs of operating the ancillary fee-funded units.</w:t>
      </w:r>
    </w:p>
    <w:p w:rsidR="00D93486" w:rsidRPr="008B5412" w:rsidRDefault="00D93486" w:rsidP="00D93486">
      <w:pPr>
        <w:rPr>
          <w:rFonts w:ascii="Helvetica" w:hAnsi="Helvetica" w:cs="Helvetica"/>
          <w:sz w:val="20"/>
        </w:rPr>
      </w:pPr>
      <w:r w:rsidRPr="008B5412">
        <w:rPr>
          <w:rFonts w:ascii="Helvetica" w:hAnsi="Helvetica" w:cs="Helvetica"/>
          <w:b/>
          <w:sz w:val="20"/>
        </w:rPr>
        <w:lastRenderedPageBreak/>
        <w:t>Recommendations</w:t>
      </w:r>
    </w:p>
    <w:p w:rsidR="00D93486" w:rsidRPr="008B5412" w:rsidRDefault="00D93486" w:rsidP="00D93486">
      <w:pPr>
        <w:rPr>
          <w:rFonts w:ascii="Helvetica" w:hAnsi="Helvetica" w:cs="Helvetica"/>
          <w:sz w:val="20"/>
        </w:rPr>
      </w:pPr>
      <w:r w:rsidRPr="008B5412">
        <w:rPr>
          <w:rFonts w:ascii="Helvetica" w:hAnsi="Helvetica" w:cs="Helvetica"/>
          <w:sz w:val="20"/>
        </w:rPr>
        <w:t>The University Students’ Council proposes the following recommendations in an effort to improve the ways in which the institution governs, implements, raises, and allocates ancillary fees at Western University.</w:t>
      </w:r>
    </w:p>
    <w:p w:rsidR="00F54FCC" w:rsidRPr="008B5412" w:rsidRDefault="00D93486" w:rsidP="00D93486">
      <w:pPr>
        <w:pStyle w:val="ListParagraph"/>
        <w:numPr>
          <w:ilvl w:val="0"/>
          <w:numId w:val="1"/>
        </w:numPr>
        <w:rPr>
          <w:rFonts w:ascii="Helvetica" w:hAnsi="Helvetica" w:cs="Helvetica"/>
          <w:sz w:val="20"/>
        </w:rPr>
      </w:pPr>
      <w:r w:rsidRPr="008B5412">
        <w:rPr>
          <w:rFonts w:ascii="Helvetica" w:hAnsi="Helvetica" w:cs="Helvetica"/>
          <w:sz w:val="20"/>
        </w:rPr>
        <w:t>In its long-term planning and budgeting process, Western University should prioritize spending on student support services to reduce dependence on ancillary fees.</w:t>
      </w:r>
    </w:p>
    <w:p w:rsidR="00D93486" w:rsidRPr="008B5412" w:rsidRDefault="00D93486" w:rsidP="00D93486">
      <w:pPr>
        <w:pStyle w:val="ListParagraph"/>
        <w:numPr>
          <w:ilvl w:val="0"/>
          <w:numId w:val="1"/>
        </w:numPr>
        <w:rPr>
          <w:rFonts w:ascii="Helvetica" w:hAnsi="Helvetica" w:cs="Helvetica"/>
          <w:sz w:val="20"/>
        </w:rPr>
      </w:pPr>
      <w:r w:rsidRPr="008B5412">
        <w:rPr>
          <w:rFonts w:ascii="Helvetica" w:hAnsi="Helvetica" w:cs="Helvetica"/>
          <w:sz w:val="20"/>
        </w:rPr>
        <w:t>Western University should endeavour to create a formula that sees student ancillary fee increases matched with operational funding committed by the institution.</w:t>
      </w:r>
    </w:p>
    <w:p w:rsidR="00A816A4" w:rsidRPr="008B5412" w:rsidRDefault="00D93486" w:rsidP="00D93486">
      <w:pPr>
        <w:pStyle w:val="ListParagraph"/>
        <w:numPr>
          <w:ilvl w:val="0"/>
          <w:numId w:val="1"/>
        </w:numPr>
        <w:rPr>
          <w:rFonts w:ascii="Helvetica" w:hAnsi="Helvetica" w:cs="Helvetica"/>
          <w:sz w:val="20"/>
        </w:rPr>
      </w:pPr>
      <w:r w:rsidRPr="008B5412">
        <w:rPr>
          <w:rFonts w:ascii="Helvetica" w:hAnsi="Helvetica" w:cs="Helvetica"/>
          <w:sz w:val="20"/>
        </w:rPr>
        <w:t>Western University and the Student Services Committee should cooperate in the creation of an accountability mechanism. This mechanism should require units to report annually on activities funded partially or wholly by ancillary fees.</w:t>
      </w:r>
    </w:p>
    <w:p w:rsidR="00A816A4" w:rsidRPr="008B5412" w:rsidRDefault="00A816A4">
      <w:pPr>
        <w:rPr>
          <w:rFonts w:ascii="Helvetica" w:hAnsi="Helvetica" w:cs="Helvetica"/>
        </w:rPr>
      </w:pPr>
      <w:r w:rsidRPr="008B5412">
        <w:rPr>
          <w:rFonts w:ascii="Helvetica" w:hAnsi="Helvetica" w:cs="Helvetica"/>
        </w:rPr>
        <w:br w:type="page"/>
      </w:r>
    </w:p>
    <w:p w:rsidR="00D93486" w:rsidRPr="008B5412" w:rsidRDefault="00A816A4" w:rsidP="00A816A4">
      <w:pPr>
        <w:pStyle w:val="Heading2"/>
        <w:rPr>
          <w:rFonts w:ascii="Helvetica" w:hAnsi="Helvetica" w:cs="Helvetica"/>
          <w:color w:val="auto"/>
          <w:sz w:val="32"/>
        </w:rPr>
      </w:pPr>
      <w:bookmarkStart w:id="2" w:name="_Toc439780888"/>
      <w:r w:rsidRPr="008B5412">
        <w:rPr>
          <w:rFonts w:ascii="Helvetica" w:hAnsi="Helvetica" w:cs="Helvetica"/>
          <w:color w:val="auto"/>
          <w:sz w:val="32"/>
        </w:rPr>
        <w:lastRenderedPageBreak/>
        <w:t>Recommendation 1: In its long-term planning and budgeting process, Western University should prioritize spending on student support services to reduce dependence on ancillary fees.</w:t>
      </w:r>
      <w:bookmarkEnd w:id="2"/>
    </w:p>
    <w:p w:rsidR="00A816A4" w:rsidRDefault="006425CF" w:rsidP="00A816A4">
      <w:pPr>
        <w:rPr>
          <w:rFonts w:ascii="Helvetica" w:hAnsi="Helvetica" w:cs="Helvetica"/>
          <w:sz w:val="20"/>
        </w:rPr>
      </w:pPr>
      <w:r w:rsidRPr="008B5412">
        <w:rPr>
          <w:rFonts w:ascii="Helvetica" w:hAnsi="Helvetica" w:cs="Helvetica"/>
        </w:rPr>
        <w:br/>
      </w:r>
      <w:r w:rsidR="004B1277">
        <w:rPr>
          <w:rFonts w:ascii="Helvetica" w:hAnsi="Helvetica" w:cs="Helvetica"/>
          <w:b/>
          <w:sz w:val="20"/>
        </w:rPr>
        <w:t xml:space="preserve">Principle: </w:t>
      </w:r>
      <w:r w:rsidR="004B1277">
        <w:rPr>
          <w:rFonts w:ascii="Helvetica" w:hAnsi="Helvetica" w:cs="Helvetica"/>
          <w:sz w:val="20"/>
        </w:rPr>
        <w:t>students should not be responsible for covering 100% of the costs associated with operating Western University Services.</w:t>
      </w:r>
      <w:r w:rsidR="004B1277">
        <w:rPr>
          <w:rFonts w:ascii="Helvetica" w:hAnsi="Helvetica" w:cs="Helvetica"/>
          <w:sz w:val="20"/>
        </w:rPr>
        <w:br/>
      </w:r>
      <w:r w:rsidR="004B1277">
        <w:rPr>
          <w:rFonts w:ascii="Helvetica" w:hAnsi="Helvetica" w:cs="Helvetica"/>
          <w:sz w:val="20"/>
        </w:rPr>
        <w:br/>
      </w:r>
      <w:r w:rsidR="00EE5DFB" w:rsidRPr="008B5412">
        <w:rPr>
          <w:rFonts w:ascii="Helvetica" w:hAnsi="Helvetica" w:cs="Helvetica"/>
          <w:sz w:val="20"/>
        </w:rPr>
        <w:t xml:space="preserve">As of 2016, only a small portion of operations in ancillary fee-funded units receive their funding directly from the central operating budget. That means that student dollars – the </w:t>
      </w:r>
      <w:r w:rsidR="006901D6" w:rsidRPr="008B5412">
        <w:rPr>
          <w:rFonts w:ascii="Helvetica" w:hAnsi="Helvetica" w:cs="Helvetica"/>
          <w:sz w:val="20"/>
        </w:rPr>
        <w:t xml:space="preserve">$449.52 outlined in this paper’s introduction </w:t>
      </w:r>
      <w:r w:rsidR="00370834" w:rsidRPr="008B5412">
        <w:rPr>
          <w:rFonts w:ascii="Helvetica" w:hAnsi="Helvetica" w:cs="Helvetica"/>
          <w:sz w:val="20"/>
        </w:rPr>
        <w:t>–</w:t>
      </w:r>
      <w:r w:rsidR="006901D6" w:rsidRPr="008B5412">
        <w:rPr>
          <w:rFonts w:ascii="Helvetica" w:hAnsi="Helvetica" w:cs="Helvetica"/>
          <w:sz w:val="20"/>
        </w:rPr>
        <w:t xml:space="preserve"> </w:t>
      </w:r>
      <w:r w:rsidR="00370834" w:rsidRPr="008B5412">
        <w:rPr>
          <w:rFonts w:ascii="Helvetica" w:hAnsi="Helvetica" w:cs="Helvetica"/>
          <w:sz w:val="20"/>
        </w:rPr>
        <w:t>fund the vast majority of on-campus services. The onus is therefore often placed on students to fund program enhancements and service improvements by way of an ancillary fee increase.</w:t>
      </w:r>
    </w:p>
    <w:p w:rsidR="00D9703F" w:rsidRPr="00D9703F" w:rsidRDefault="00D9703F" w:rsidP="00A816A4">
      <w:pPr>
        <w:rPr>
          <w:rFonts w:ascii="Helvetica" w:hAnsi="Helvetica" w:cs="Helvetica"/>
          <w:sz w:val="20"/>
        </w:rPr>
      </w:pPr>
      <w:r>
        <w:rPr>
          <w:rFonts w:ascii="Helvetica" w:hAnsi="Helvetica" w:cs="Helvetica"/>
          <w:b/>
          <w:sz w:val="20"/>
        </w:rPr>
        <w:t xml:space="preserve">Concern: </w:t>
      </w:r>
      <w:r>
        <w:rPr>
          <w:rFonts w:ascii="Helvetica" w:hAnsi="Helvetica" w:cs="Helvetica"/>
          <w:sz w:val="20"/>
        </w:rPr>
        <w:t xml:space="preserve">a system in which students are relied upon to finance the majority of Western University’s services is unfair and unsustainable. </w:t>
      </w:r>
    </w:p>
    <w:p w:rsidR="00FE3CF8" w:rsidRPr="008B5412" w:rsidRDefault="008B78B0" w:rsidP="00A816A4">
      <w:pPr>
        <w:rPr>
          <w:rFonts w:ascii="Helvetica" w:hAnsi="Helvetica" w:cs="Helvetica"/>
          <w:sz w:val="20"/>
        </w:rPr>
      </w:pPr>
      <w:r>
        <w:rPr>
          <w:rFonts w:ascii="Helvetica" w:hAnsi="Helvetica" w:cs="Helvetica"/>
          <w:sz w:val="20"/>
        </w:rPr>
        <w:t>A</w:t>
      </w:r>
      <w:r w:rsidR="00370834" w:rsidRPr="008B5412">
        <w:rPr>
          <w:rFonts w:ascii="Helvetica" w:hAnsi="Helvetica" w:cs="Helvetica"/>
          <w:sz w:val="20"/>
        </w:rPr>
        <w:t xml:space="preserve"> system wherein students are relied upon to pay for program enhancements and service improvements is unsustainable. </w:t>
      </w:r>
      <w:r w:rsidR="00FE3CF8" w:rsidRPr="008B5412">
        <w:rPr>
          <w:rFonts w:ascii="Helvetica" w:hAnsi="Helvetica" w:cs="Helvetica"/>
          <w:sz w:val="20"/>
        </w:rPr>
        <w:t xml:space="preserve">Even with a 16% increase to university-controlled student ancillary fees over the last five years, units continue to seek student support to fund essential programs and services. </w:t>
      </w:r>
      <w:r w:rsidR="00370834" w:rsidRPr="008B5412">
        <w:rPr>
          <w:rFonts w:ascii="Helvetica" w:hAnsi="Helvetica" w:cs="Helvetica"/>
          <w:sz w:val="20"/>
        </w:rPr>
        <w:t>Such a system has created an environment where fee-funded improvements occur in a trickle rather than a steady stream</w:t>
      </w:r>
      <w:r w:rsidR="00FE3CF8" w:rsidRPr="008B5412">
        <w:rPr>
          <w:rFonts w:ascii="Helvetica" w:hAnsi="Helvetica" w:cs="Helvetica"/>
          <w:sz w:val="20"/>
        </w:rPr>
        <w:t xml:space="preserve">. This funding model, often governed by trepidation surrounding a substantial increase in fees, is neither fair to students nor in the best interests of the units it supports. </w:t>
      </w:r>
    </w:p>
    <w:p w:rsidR="00411FDF" w:rsidRDefault="00D9703F" w:rsidP="00A816A4">
      <w:pPr>
        <w:rPr>
          <w:rFonts w:ascii="Helvetica" w:hAnsi="Helvetica" w:cs="Helvetica"/>
          <w:b/>
          <w:sz w:val="20"/>
        </w:rPr>
      </w:pPr>
      <w:r w:rsidRPr="00D9703F">
        <w:rPr>
          <w:rFonts w:ascii="Helvetica" w:hAnsi="Helvetica" w:cs="Helvetica"/>
          <w:b/>
          <w:sz w:val="20"/>
        </w:rPr>
        <w:t>Recommendation</w:t>
      </w:r>
    </w:p>
    <w:p w:rsidR="006425CF" w:rsidRPr="008B5412" w:rsidRDefault="002F1310" w:rsidP="00A816A4">
      <w:pPr>
        <w:rPr>
          <w:rFonts w:ascii="Helvetica" w:hAnsi="Helvetica" w:cs="Helvetica"/>
          <w:sz w:val="20"/>
        </w:rPr>
      </w:pPr>
      <w:r>
        <w:rPr>
          <w:rFonts w:ascii="Helvetica" w:hAnsi="Helvetica" w:cs="Helvetica"/>
          <w:sz w:val="20"/>
        </w:rPr>
        <w:t>In that spirit, we</w:t>
      </w:r>
      <w:r w:rsidR="00FE3CF8" w:rsidRPr="008B5412">
        <w:rPr>
          <w:rFonts w:ascii="Helvetica" w:hAnsi="Helvetica" w:cs="Helvetica"/>
          <w:sz w:val="20"/>
        </w:rPr>
        <w:t xml:space="preserve"> propose that the University prioritizes student support services in its long-term planning and budgeting process. Institutional support derived from the central operating budget will supplement existing program funding and cover some of the costs associated with long-standing or permanent fixtures, freeing up student dollars for improvements and enhancements.</w:t>
      </w:r>
      <w:r w:rsidR="00F851E9" w:rsidRPr="008B5412">
        <w:rPr>
          <w:rFonts w:ascii="Helvetica" w:hAnsi="Helvetica" w:cs="Helvetica"/>
          <w:sz w:val="20"/>
        </w:rPr>
        <w:t xml:space="preserve"> Other institutions, such as Wilfrid Laurier University in Waterloo, account for student services in their central operating budget.</w:t>
      </w:r>
      <w:r w:rsidR="00A9180A">
        <w:rPr>
          <w:rStyle w:val="FootnoteReference"/>
          <w:rFonts w:ascii="Helvetica" w:hAnsi="Helvetica" w:cs="Helvetica"/>
          <w:sz w:val="20"/>
        </w:rPr>
        <w:footnoteReference w:id="1"/>
      </w:r>
      <w:r>
        <w:rPr>
          <w:rFonts w:ascii="Helvetica" w:hAnsi="Helvetica" w:cs="Helvetica"/>
          <w:sz w:val="20"/>
        </w:rPr>
        <w:t xml:space="preserve"> This is a model that we</w:t>
      </w:r>
      <w:r w:rsidR="00F851E9" w:rsidRPr="008B5412">
        <w:rPr>
          <w:rFonts w:ascii="Helvetica" w:hAnsi="Helvetica" w:cs="Helvetica"/>
          <w:sz w:val="20"/>
        </w:rPr>
        <w:t xml:space="preserve"> believe should be adopted at Western. </w:t>
      </w:r>
    </w:p>
    <w:p w:rsidR="006425CF" w:rsidRPr="008B5412" w:rsidRDefault="006425CF">
      <w:pPr>
        <w:rPr>
          <w:rFonts w:ascii="Helvetica" w:hAnsi="Helvetica" w:cs="Helvetica"/>
        </w:rPr>
      </w:pPr>
      <w:r w:rsidRPr="008B5412">
        <w:rPr>
          <w:rFonts w:ascii="Helvetica" w:hAnsi="Helvetica" w:cs="Helvetica"/>
        </w:rPr>
        <w:br w:type="page"/>
      </w:r>
    </w:p>
    <w:p w:rsidR="00370834" w:rsidRPr="008B5412" w:rsidRDefault="006425CF" w:rsidP="006425CF">
      <w:pPr>
        <w:pStyle w:val="Heading2"/>
        <w:rPr>
          <w:rFonts w:ascii="Helvetica" w:hAnsi="Helvetica" w:cs="Helvetica"/>
          <w:color w:val="auto"/>
          <w:sz w:val="32"/>
        </w:rPr>
      </w:pPr>
      <w:bookmarkStart w:id="3" w:name="_Toc439780889"/>
      <w:r w:rsidRPr="008B5412">
        <w:rPr>
          <w:rFonts w:ascii="Helvetica" w:hAnsi="Helvetica" w:cs="Helvetica"/>
          <w:color w:val="auto"/>
          <w:sz w:val="32"/>
        </w:rPr>
        <w:lastRenderedPageBreak/>
        <w:t>Recommendation 2: Western University should endeavour to create a formula that sees student ancillary fee increases matched with operational funding committed by the institution.</w:t>
      </w:r>
      <w:bookmarkEnd w:id="3"/>
    </w:p>
    <w:p w:rsidR="00411FDF" w:rsidRDefault="006425CF" w:rsidP="006425CF">
      <w:pPr>
        <w:rPr>
          <w:rFonts w:ascii="Helvetica" w:hAnsi="Helvetica" w:cs="Helvetica"/>
          <w:sz w:val="20"/>
        </w:rPr>
      </w:pPr>
      <w:r w:rsidRPr="008B5412">
        <w:rPr>
          <w:rFonts w:ascii="Helvetica" w:hAnsi="Helvetica" w:cs="Helvetica"/>
        </w:rPr>
        <w:br/>
      </w:r>
      <w:r w:rsidR="00411FDF">
        <w:rPr>
          <w:rFonts w:ascii="Helvetica" w:hAnsi="Helvetica" w:cs="Helvetica"/>
          <w:b/>
          <w:sz w:val="20"/>
        </w:rPr>
        <w:t xml:space="preserve">Principle: </w:t>
      </w:r>
      <w:r w:rsidR="00411FDF">
        <w:rPr>
          <w:rFonts w:ascii="Helvetica" w:hAnsi="Helvetica" w:cs="Helvetica"/>
          <w:sz w:val="20"/>
        </w:rPr>
        <w:t>new student fees and increases to existing student fees often come without matching funds from the institution.</w:t>
      </w:r>
    </w:p>
    <w:p w:rsidR="00411FDF" w:rsidRPr="00864978" w:rsidRDefault="00411FDF" w:rsidP="006425CF">
      <w:pPr>
        <w:rPr>
          <w:rFonts w:ascii="Helvetica" w:hAnsi="Helvetica" w:cs="Helvetica"/>
          <w:sz w:val="20"/>
        </w:rPr>
      </w:pPr>
      <w:r>
        <w:rPr>
          <w:rFonts w:ascii="Helvetica" w:hAnsi="Helvetica" w:cs="Helvetica"/>
          <w:b/>
          <w:sz w:val="20"/>
        </w:rPr>
        <w:t xml:space="preserve">Concern: </w:t>
      </w:r>
      <w:r w:rsidR="00864978">
        <w:rPr>
          <w:rFonts w:ascii="Helvetica" w:hAnsi="Helvetica" w:cs="Helvetica"/>
          <w:sz w:val="20"/>
        </w:rPr>
        <w:t>when fees are created or increased</w:t>
      </w:r>
      <w:r w:rsidR="008B6117">
        <w:rPr>
          <w:rFonts w:ascii="Helvetica" w:hAnsi="Helvetica" w:cs="Helvetica"/>
          <w:sz w:val="20"/>
        </w:rPr>
        <w:t xml:space="preserve"> without a matching provision</w:t>
      </w:r>
      <w:r w:rsidR="00864978">
        <w:rPr>
          <w:rFonts w:ascii="Helvetica" w:hAnsi="Helvetica" w:cs="Helvetica"/>
          <w:sz w:val="20"/>
        </w:rPr>
        <w:t>, the university is in effect, relying solely on student dollars to fund its new or existing initiatives.</w:t>
      </w:r>
    </w:p>
    <w:p w:rsidR="006425CF" w:rsidRPr="00411FDF" w:rsidRDefault="00411FDF" w:rsidP="006425CF">
      <w:pPr>
        <w:rPr>
          <w:rFonts w:ascii="Helvetica" w:hAnsi="Helvetica" w:cs="Helvetica"/>
          <w:b/>
          <w:sz w:val="20"/>
        </w:rPr>
      </w:pPr>
      <w:r>
        <w:rPr>
          <w:rFonts w:ascii="Helvetica" w:hAnsi="Helvetica" w:cs="Helvetica"/>
          <w:sz w:val="20"/>
        </w:rPr>
        <w:t>O</w:t>
      </w:r>
      <w:r w:rsidR="006425CF" w:rsidRPr="008B5412">
        <w:rPr>
          <w:rFonts w:ascii="Helvetica" w:hAnsi="Helvetica" w:cs="Helvetica"/>
          <w:sz w:val="20"/>
        </w:rPr>
        <w:t>ur first recommendation focuses on the need to discontinue the practice of students being the primary source of funding for ancillary fee-funded units. The premise of this recommendation is explicitly tied to that of the first. If students should not be relied upon for the ancillary fee-funded units’ financial stability, then a mechanism should be put in place to supplement any increase to student fees with operational funding. It is our belief that University allocations to student services should be explicitly connected to funds committed by students in the form of a fee increase.</w:t>
      </w:r>
    </w:p>
    <w:p w:rsidR="00864978" w:rsidRPr="00864978" w:rsidRDefault="00864978" w:rsidP="006425CF">
      <w:pPr>
        <w:rPr>
          <w:rFonts w:ascii="Helvetica" w:hAnsi="Helvetica" w:cs="Helvetica"/>
          <w:b/>
          <w:sz w:val="20"/>
        </w:rPr>
      </w:pPr>
      <w:r>
        <w:rPr>
          <w:rFonts w:ascii="Helvetica" w:hAnsi="Helvetica" w:cs="Helvetica"/>
          <w:b/>
          <w:sz w:val="20"/>
        </w:rPr>
        <w:t>Recommendation</w:t>
      </w:r>
    </w:p>
    <w:p w:rsidR="003156D5" w:rsidRPr="008B5412" w:rsidRDefault="003156D5" w:rsidP="006425CF">
      <w:pPr>
        <w:rPr>
          <w:rFonts w:ascii="Helvetica" w:hAnsi="Helvetica" w:cs="Helvetica"/>
          <w:sz w:val="20"/>
        </w:rPr>
      </w:pPr>
      <w:r w:rsidRPr="008B5412">
        <w:rPr>
          <w:rFonts w:ascii="Helvetica" w:hAnsi="Helvetica" w:cs="Helvetica"/>
          <w:sz w:val="20"/>
        </w:rPr>
        <w:t>A mechanism of this nature is beneficial in a number of ways; chief among them, the implication it would have for future fee increases, which would automatically be tied to a commitment from the University. This would ensu</w:t>
      </w:r>
      <w:r w:rsidR="0066614A">
        <w:rPr>
          <w:rFonts w:ascii="Helvetica" w:hAnsi="Helvetica" w:cs="Helvetica"/>
          <w:sz w:val="20"/>
        </w:rPr>
        <w:t>re that any future requests to</w:t>
      </w:r>
      <w:r w:rsidRPr="008B5412">
        <w:rPr>
          <w:rFonts w:ascii="Helvetica" w:hAnsi="Helvetica" w:cs="Helvetica"/>
          <w:sz w:val="20"/>
        </w:rPr>
        <w:t xml:space="preserve"> students come with a guarantee from administration that they would, in some measure, match our support. </w:t>
      </w:r>
    </w:p>
    <w:p w:rsidR="00335E93" w:rsidRPr="008B5412" w:rsidRDefault="006425CF" w:rsidP="006425CF">
      <w:pPr>
        <w:rPr>
          <w:rFonts w:ascii="Helvetica" w:hAnsi="Helvetica" w:cs="Helvetica"/>
          <w:sz w:val="20"/>
        </w:rPr>
      </w:pPr>
      <w:r w:rsidRPr="008B5412">
        <w:rPr>
          <w:rFonts w:ascii="Helvetica" w:hAnsi="Helvetica" w:cs="Helvetica"/>
          <w:sz w:val="20"/>
        </w:rPr>
        <w:t>There is precedent for this type of mechanism at other Ontario universities. For example, at Laurier University, students and administration split the cost of running on-campus student services equally, with half funded directly by students and the other half committed by the institution.</w:t>
      </w:r>
      <w:r w:rsidR="000868F5">
        <w:rPr>
          <w:rStyle w:val="FootnoteReference"/>
          <w:rFonts w:ascii="Helvetica" w:hAnsi="Helvetica" w:cs="Helvetica"/>
          <w:sz w:val="20"/>
        </w:rPr>
        <w:footnoteReference w:id="2"/>
      </w:r>
      <w:r w:rsidR="003156D5" w:rsidRPr="008B5412">
        <w:rPr>
          <w:rFonts w:ascii="Helvetica" w:hAnsi="Helvetica" w:cs="Helvetica"/>
          <w:sz w:val="20"/>
        </w:rPr>
        <w:t xml:space="preserve"> Western students are in favour of the adoption of such a model, one that sees the institution and students partnering in an effort to provide high-quality services to their community.</w:t>
      </w:r>
    </w:p>
    <w:p w:rsidR="00335E93" w:rsidRPr="008B5412" w:rsidRDefault="00335E93">
      <w:pPr>
        <w:rPr>
          <w:rFonts w:ascii="Helvetica" w:hAnsi="Helvetica" w:cs="Helvetica"/>
        </w:rPr>
      </w:pPr>
      <w:r w:rsidRPr="008B5412">
        <w:rPr>
          <w:rFonts w:ascii="Helvetica" w:hAnsi="Helvetica" w:cs="Helvetica"/>
        </w:rPr>
        <w:br w:type="page"/>
      </w:r>
    </w:p>
    <w:p w:rsidR="006425CF" w:rsidRPr="008B5412" w:rsidRDefault="00335E93" w:rsidP="00335E93">
      <w:pPr>
        <w:pStyle w:val="Heading2"/>
        <w:rPr>
          <w:rFonts w:ascii="Helvetica" w:hAnsi="Helvetica" w:cs="Helvetica"/>
          <w:color w:val="auto"/>
          <w:sz w:val="32"/>
        </w:rPr>
      </w:pPr>
      <w:bookmarkStart w:id="4" w:name="_Toc439780890"/>
      <w:r w:rsidRPr="008B5412">
        <w:rPr>
          <w:rFonts w:ascii="Helvetica" w:hAnsi="Helvetica" w:cs="Helvetica"/>
          <w:color w:val="auto"/>
          <w:sz w:val="32"/>
        </w:rPr>
        <w:lastRenderedPageBreak/>
        <w:t xml:space="preserve">Recommendation 3: Western University and the Student Services Committee should cooperate </w:t>
      </w:r>
      <w:r w:rsidR="00B77360" w:rsidRPr="008B5412">
        <w:rPr>
          <w:rFonts w:ascii="Helvetica" w:hAnsi="Helvetica" w:cs="Helvetica"/>
          <w:color w:val="auto"/>
          <w:sz w:val="32"/>
        </w:rPr>
        <w:t>in the creation of an accountability mechanism. This mechanism should require units to report annually on activities funded partially or wholly by ancillary fees.</w:t>
      </w:r>
      <w:bookmarkEnd w:id="4"/>
    </w:p>
    <w:p w:rsidR="00A22529" w:rsidRDefault="00B77360" w:rsidP="00B77360">
      <w:pPr>
        <w:rPr>
          <w:rFonts w:ascii="Helvetica" w:hAnsi="Helvetica" w:cs="Helvetica"/>
          <w:sz w:val="20"/>
        </w:rPr>
      </w:pPr>
      <w:r w:rsidRPr="008B5412">
        <w:rPr>
          <w:rFonts w:ascii="Helvetica" w:hAnsi="Helvetica" w:cs="Helvetica"/>
        </w:rPr>
        <w:br/>
      </w:r>
      <w:r w:rsidR="00A22529">
        <w:rPr>
          <w:rFonts w:ascii="Helvetica" w:hAnsi="Helvetica" w:cs="Helvetica"/>
          <w:b/>
          <w:sz w:val="20"/>
        </w:rPr>
        <w:t xml:space="preserve">Principle: </w:t>
      </w:r>
      <w:r w:rsidR="00A22529">
        <w:rPr>
          <w:rFonts w:ascii="Helvetica" w:hAnsi="Helvetica" w:cs="Helvetica"/>
          <w:sz w:val="20"/>
        </w:rPr>
        <w:t>student dollars should be treated with the utmost respect.</w:t>
      </w:r>
    </w:p>
    <w:p w:rsidR="00A22529" w:rsidRDefault="00A22529" w:rsidP="00B77360">
      <w:pPr>
        <w:rPr>
          <w:rFonts w:ascii="Helvetica" w:hAnsi="Helvetica" w:cs="Helvetica"/>
          <w:sz w:val="20"/>
        </w:rPr>
      </w:pPr>
      <w:r>
        <w:rPr>
          <w:rFonts w:ascii="Helvetica" w:hAnsi="Helvetica" w:cs="Helvetica"/>
          <w:b/>
          <w:sz w:val="20"/>
        </w:rPr>
        <w:t xml:space="preserve">Concern: </w:t>
      </w:r>
      <w:r>
        <w:rPr>
          <w:rFonts w:ascii="Helvetica" w:hAnsi="Helvetica" w:cs="Helvetica"/>
          <w:sz w:val="20"/>
        </w:rPr>
        <w:t>a lack of clearly articulated accountability protocols makes it difficult for students to actively participate in conversations about their fees.</w:t>
      </w:r>
    </w:p>
    <w:p w:rsidR="00A22529" w:rsidRPr="00A22529" w:rsidRDefault="00A22529" w:rsidP="00B77360">
      <w:pPr>
        <w:rPr>
          <w:rFonts w:ascii="Helvetica" w:hAnsi="Helvetica" w:cs="Helvetica"/>
          <w:sz w:val="20"/>
        </w:rPr>
      </w:pPr>
      <w:r>
        <w:rPr>
          <w:rFonts w:ascii="Helvetica" w:hAnsi="Helvetica" w:cs="Helvetica"/>
          <w:b/>
          <w:sz w:val="20"/>
        </w:rPr>
        <w:t>Recommendation</w:t>
      </w:r>
    </w:p>
    <w:p w:rsidR="00B77360" w:rsidRPr="008B5412" w:rsidRDefault="000E3A26" w:rsidP="00B77360">
      <w:pPr>
        <w:rPr>
          <w:rFonts w:ascii="Helvetica" w:hAnsi="Helvetica" w:cs="Helvetica"/>
          <w:sz w:val="20"/>
        </w:rPr>
      </w:pPr>
      <w:r w:rsidRPr="008B5412">
        <w:rPr>
          <w:rFonts w:ascii="Helvetica" w:hAnsi="Helvetica" w:cs="Helvetica"/>
          <w:sz w:val="20"/>
        </w:rPr>
        <w:t xml:space="preserve">As affirmed in this paper’s introduction, it is the firmly held belief of the University Students’ Council that student dollars should be treated with the utmost respect. </w:t>
      </w:r>
      <w:r w:rsidR="00C3764E" w:rsidRPr="008B5412">
        <w:rPr>
          <w:rFonts w:ascii="Helvetica" w:hAnsi="Helvetica" w:cs="Helvetica"/>
          <w:sz w:val="20"/>
        </w:rPr>
        <w:t>In order for students and their representatives to know whether or not this is the case, we propose the creation of an accountability mechanism or protocol that will compel fee-funded units to provide, in a public forum, routine updates on the status of student-funded projects.</w:t>
      </w:r>
    </w:p>
    <w:p w:rsidR="00694DFD" w:rsidRDefault="00C3764E" w:rsidP="00B77360">
      <w:pPr>
        <w:rPr>
          <w:rFonts w:ascii="Helvetica" w:hAnsi="Helvetica" w:cs="Helvetica"/>
          <w:sz w:val="20"/>
        </w:rPr>
      </w:pPr>
      <w:r w:rsidRPr="008B5412">
        <w:rPr>
          <w:rFonts w:ascii="Helvetica" w:hAnsi="Helvetica" w:cs="Helvetica"/>
          <w:sz w:val="20"/>
        </w:rPr>
        <w:t>While the Student Services Committee receives annual updates on overall progress from many (but not all) of the fee-funded units, those updates are n</w:t>
      </w:r>
      <w:r w:rsidR="00492DA1" w:rsidRPr="008B5412">
        <w:rPr>
          <w:rFonts w:ascii="Helvetica" w:hAnsi="Helvetica" w:cs="Helvetica"/>
          <w:sz w:val="20"/>
        </w:rPr>
        <w:t xml:space="preserve">ot mandatory, made consistently, </w:t>
      </w:r>
      <w:r w:rsidR="0098439E">
        <w:rPr>
          <w:rFonts w:ascii="Helvetica" w:hAnsi="Helvetica" w:cs="Helvetica"/>
          <w:sz w:val="20"/>
        </w:rPr>
        <w:t xml:space="preserve">made </w:t>
      </w:r>
      <w:r w:rsidR="00492DA1" w:rsidRPr="008B5412">
        <w:rPr>
          <w:rFonts w:ascii="Helvetica" w:hAnsi="Helvetica" w:cs="Helvetica"/>
          <w:sz w:val="20"/>
        </w:rPr>
        <w:t xml:space="preserve">in a public manner, and are not explicitly tied to </w:t>
      </w:r>
      <w:r w:rsidR="001C54D0" w:rsidRPr="008B5412">
        <w:rPr>
          <w:rFonts w:ascii="Helvetica" w:hAnsi="Helvetica" w:cs="Helvetica"/>
          <w:sz w:val="20"/>
        </w:rPr>
        <w:t>a specific instance of fee increases.</w:t>
      </w:r>
      <w:r w:rsidR="006F0B33" w:rsidRPr="008B5412">
        <w:rPr>
          <w:rFonts w:ascii="Helvetica" w:hAnsi="Helvetica" w:cs="Helvetica"/>
          <w:sz w:val="20"/>
        </w:rPr>
        <w:t xml:space="preserve"> A new accountability protocol should serve all those purposes</w:t>
      </w:r>
      <w:r w:rsidR="003C32FE" w:rsidRPr="008B5412">
        <w:rPr>
          <w:rFonts w:ascii="Helvetica" w:hAnsi="Helvetica" w:cs="Helvetica"/>
          <w:sz w:val="20"/>
        </w:rPr>
        <w:t>, in addition to</w:t>
      </w:r>
      <w:r w:rsidR="006F0B33" w:rsidRPr="008B5412">
        <w:rPr>
          <w:rFonts w:ascii="Helvetica" w:hAnsi="Helvetica" w:cs="Helvetica"/>
          <w:sz w:val="20"/>
        </w:rPr>
        <w:t xml:space="preserve"> giv</w:t>
      </w:r>
      <w:r w:rsidR="003C32FE" w:rsidRPr="008B5412">
        <w:rPr>
          <w:rFonts w:ascii="Helvetica" w:hAnsi="Helvetica" w:cs="Helvetica"/>
          <w:sz w:val="20"/>
        </w:rPr>
        <w:t>ing</w:t>
      </w:r>
      <w:r w:rsidR="006F0B33" w:rsidRPr="008B5412">
        <w:rPr>
          <w:rFonts w:ascii="Helvetica" w:hAnsi="Helvetica" w:cs="Helvetica"/>
          <w:sz w:val="20"/>
        </w:rPr>
        <w:t xml:space="preserve"> students</w:t>
      </w:r>
      <w:r w:rsidR="003C32FE" w:rsidRPr="008B5412">
        <w:rPr>
          <w:rFonts w:ascii="Helvetica" w:hAnsi="Helvetica" w:cs="Helvetica"/>
          <w:sz w:val="20"/>
        </w:rPr>
        <w:t>-at-large</w:t>
      </w:r>
      <w:r w:rsidR="006F0B33" w:rsidRPr="008B5412">
        <w:rPr>
          <w:rFonts w:ascii="Helvetica" w:hAnsi="Helvetica" w:cs="Helvetica"/>
          <w:sz w:val="20"/>
        </w:rPr>
        <w:t xml:space="preserve"> an opportunity to monitor ongoing progress and service enhancements. Such a mechanism </w:t>
      </w:r>
      <w:r w:rsidR="003C32FE" w:rsidRPr="008B5412">
        <w:rPr>
          <w:rFonts w:ascii="Helvetica" w:hAnsi="Helvetica" w:cs="Helvetica"/>
          <w:sz w:val="20"/>
        </w:rPr>
        <w:t>will allow greater student participation</w:t>
      </w:r>
      <w:r w:rsidR="006F0B33" w:rsidRPr="008B5412">
        <w:rPr>
          <w:rFonts w:ascii="Helvetica" w:hAnsi="Helvetica" w:cs="Helvetica"/>
          <w:sz w:val="20"/>
        </w:rPr>
        <w:t xml:space="preserve"> in conversations about how their dollars are spent, </w:t>
      </w:r>
      <w:r w:rsidR="003C32FE" w:rsidRPr="008B5412">
        <w:rPr>
          <w:rFonts w:ascii="Helvetica" w:hAnsi="Helvetica" w:cs="Helvetica"/>
          <w:sz w:val="20"/>
        </w:rPr>
        <w:t>what student service priorities should be, and ultimately, whether or not their dollars are being spent appropriately and in accordance with their aspirations.</w:t>
      </w:r>
    </w:p>
    <w:p w:rsidR="00694DFD" w:rsidRDefault="00694DFD">
      <w:pPr>
        <w:rPr>
          <w:rFonts w:ascii="Helvetica" w:hAnsi="Helvetica" w:cs="Helvetica"/>
          <w:sz w:val="20"/>
        </w:rPr>
      </w:pPr>
      <w:r>
        <w:rPr>
          <w:rFonts w:ascii="Helvetica" w:hAnsi="Helvetica" w:cs="Helvetica"/>
          <w:sz w:val="20"/>
        </w:rPr>
        <w:br w:type="page"/>
      </w:r>
    </w:p>
    <w:p w:rsidR="00694DFD" w:rsidRPr="00694DFD" w:rsidRDefault="00694DFD" w:rsidP="00694DFD">
      <w:pPr>
        <w:pStyle w:val="Heading2"/>
        <w:rPr>
          <w:rFonts w:ascii="Helvetica" w:hAnsi="Helvetica" w:cs="Helvetica"/>
          <w:color w:val="auto"/>
          <w:sz w:val="32"/>
        </w:rPr>
      </w:pPr>
      <w:bookmarkStart w:id="5" w:name="_Toc439780891"/>
      <w:r w:rsidRPr="00694DFD">
        <w:rPr>
          <w:rFonts w:ascii="Helvetica" w:hAnsi="Helvetica" w:cs="Helvetica"/>
          <w:color w:val="auto"/>
          <w:sz w:val="32"/>
        </w:rPr>
        <w:lastRenderedPageBreak/>
        <w:t>Appendix 1: Western University Ancillary Fee Schedule, 2015-16</w:t>
      </w:r>
      <w:bookmarkEnd w:id="5"/>
    </w:p>
    <w:p w:rsidR="00694DFD" w:rsidRDefault="000D1167" w:rsidP="00694DFD">
      <w:pPr>
        <w:rPr>
          <w:rFonts w:asciiTheme="majorHAnsi" w:eastAsiaTheme="majorEastAsia" w:hAnsiTheme="majorHAnsi" w:cstheme="majorBidi"/>
          <w:color w:val="4F81BD" w:themeColor="accent1"/>
          <w:sz w:val="26"/>
          <w:szCs w:val="26"/>
        </w:rPr>
      </w:pPr>
      <w:r w:rsidRPr="005F0B14">
        <w:rPr>
          <w:rFonts w:ascii="Helvetica" w:hAnsi="Helvetica" w:cs="Helvetica"/>
          <w:sz w:val="32"/>
        </w:rP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603pt" o:ole="">
            <v:imagedata r:id="rId10" o:title=""/>
          </v:shape>
          <o:OLEObject Type="Embed" ProgID="AcroExch.Document.7" ShapeID="_x0000_i1025" DrawAspect="Content" ObjectID="_1517832064" r:id="rId11"/>
        </w:object>
      </w:r>
      <w:r w:rsidR="00694DFD">
        <w:br w:type="page"/>
      </w:r>
    </w:p>
    <w:p w:rsidR="00C3764E" w:rsidRPr="00694DFD" w:rsidRDefault="00694DFD" w:rsidP="00694DFD">
      <w:pPr>
        <w:pStyle w:val="Heading2"/>
        <w:rPr>
          <w:rFonts w:ascii="Helvetica" w:hAnsi="Helvetica" w:cs="Helvetica"/>
          <w:color w:val="auto"/>
          <w:sz w:val="32"/>
        </w:rPr>
      </w:pPr>
      <w:bookmarkStart w:id="6" w:name="_Toc439780892"/>
      <w:r w:rsidRPr="00694DFD">
        <w:rPr>
          <w:rFonts w:ascii="Helvetica" w:hAnsi="Helvetica" w:cs="Helvetica"/>
          <w:color w:val="auto"/>
          <w:sz w:val="32"/>
        </w:rPr>
        <w:lastRenderedPageBreak/>
        <w:t>Appendix 2: University of Western Ontario Ancillary Fee Schedule, 2010-11</w:t>
      </w:r>
      <w:bookmarkEnd w:id="6"/>
    </w:p>
    <w:p w:rsidR="006F0B33" w:rsidRPr="008B5412" w:rsidRDefault="000D1167" w:rsidP="00B77360">
      <w:pPr>
        <w:rPr>
          <w:rFonts w:ascii="Helvetica" w:hAnsi="Helvetica" w:cs="Helvetica"/>
        </w:rPr>
      </w:pPr>
      <w:r w:rsidRPr="005F0B14">
        <w:rPr>
          <w:rFonts w:ascii="Helvetica" w:hAnsi="Helvetica" w:cs="Helvetica"/>
        </w:rPr>
        <w:object w:dxaOrig="7344" w:dyaOrig="9504">
          <v:shape id="_x0000_i1026" type="#_x0000_t75" style="width:467.25pt;height:603.75pt" o:ole="">
            <v:imagedata r:id="rId12" o:title=""/>
          </v:shape>
          <o:OLEObject Type="Embed" ProgID="AcroExch.Document.7" ShapeID="_x0000_i1026" DrawAspect="Content" ObjectID="_1517832065" r:id="rId13"/>
        </w:object>
      </w:r>
    </w:p>
    <w:sectPr w:rsidR="006F0B33" w:rsidRPr="008B5412" w:rsidSect="008236A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995" w:rsidRDefault="00F73995" w:rsidP="00694DFD">
      <w:pPr>
        <w:spacing w:after="0" w:line="240" w:lineRule="auto"/>
      </w:pPr>
      <w:r>
        <w:separator/>
      </w:r>
    </w:p>
  </w:endnote>
  <w:endnote w:type="continuationSeparator" w:id="0">
    <w:p w:rsidR="00F73995" w:rsidRDefault="00F73995" w:rsidP="0069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cs="Helvetica"/>
      </w:rPr>
      <w:id w:val="1964305074"/>
      <w:docPartObj>
        <w:docPartGallery w:val="Page Numbers (Bottom of Page)"/>
        <w:docPartUnique/>
      </w:docPartObj>
    </w:sdtPr>
    <w:sdtEndPr/>
    <w:sdtContent>
      <w:sdt>
        <w:sdtPr>
          <w:rPr>
            <w:rFonts w:ascii="Helvetica" w:hAnsi="Helvetica" w:cs="Helvetica"/>
          </w:rPr>
          <w:id w:val="1964305075"/>
          <w:docPartObj>
            <w:docPartGallery w:val="Page Numbers (Top of Page)"/>
            <w:docPartUnique/>
          </w:docPartObj>
        </w:sdtPr>
        <w:sdtEndPr/>
        <w:sdtContent>
          <w:p w:rsidR="00694DFD" w:rsidRPr="00694DFD" w:rsidRDefault="00694DFD" w:rsidP="00694DFD">
            <w:pPr>
              <w:pStyle w:val="Footer"/>
              <w:jc w:val="right"/>
              <w:rPr>
                <w:rFonts w:ascii="Helvetica" w:hAnsi="Helvetica" w:cs="Helvetica"/>
              </w:rPr>
            </w:pPr>
            <w:r w:rsidRPr="00694DFD">
              <w:rPr>
                <w:rFonts w:ascii="Helvetica" w:hAnsi="Helvetica" w:cs="Helvetica"/>
              </w:rPr>
              <w:t xml:space="preserve"> </w:t>
            </w:r>
            <w:r w:rsidRPr="00694DFD">
              <w:rPr>
                <w:rFonts w:ascii="Helvetica" w:hAnsi="Helvetica" w:cs="Helvetica"/>
                <w:sz w:val="16"/>
              </w:rPr>
              <w:t>Ancillary Fees</w:t>
            </w:r>
            <w:r w:rsidRPr="00694DFD">
              <w:rPr>
                <w:rFonts w:ascii="Helvetica" w:hAnsi="Helvetica" w:cs="Helvetica"/>
              </w:rPr>
              <w:t xml:space="preserve"> </w:t>
            </w:r>
            <w:r w:rsidRPr="00694DFD">
              <w:rPr>
                <w:rFonts w:ascii="Helvetica" w:hAnsi="Helvetica" w:cs="Helvetica"/>
                <w:sz w:val="16"/>
                <w:szCs w:val="16"/>
              </w:rPr>
              <w:t xml:space="preserve">Page </w:t>
            </w:r>
            <w:r w:rsidR="005F0B14" w:rsidRPr="00694DFD">
              <w:rPr>
                <w:rFonts w:ascii="Helvetica" w:hAnsi="Helvetica" w:cs="Helvetica"/>
                <w:b/>
                <w:sz w:val="16"/>
                <w:szCs w:val="16"/>
              </w:rPr>
              <w:fldChar w:fldCharType="begin"/>
            </w:r>
            <w:r w:rsidRPr="00694DFD">
              <w:rPr>
                <w:rFonts w:ascii="Helvetica" w:hAnsi="Helvetica" w:cs="Helvetica"/>
                <w:b/>
                <w:sz w:val="16"/>
                <w:szCs w:val="16"/>
              </w:rPr>
              <w:instrText xml:space="preserve"> PAGE </w:instrText>
            </w:r>
            <w:r w:rsidR="005F0B14" w:rsidRPr="00694DFD">
              <w:rPr>
                <w:rFonts w:ascii="Helvetica" w:hAnsi="Helvetica" w:cs="Helvetica"/>
                <w:b/>
                <w:sz w:val="16"/>
                <w:szCs w:val="16"/>
              </w:rPr>
              <w:fldChar w:fldCharType="separate"/>
            </w:r>
            <w:r w:rsidR="00265E10">
              <w:rPr>
                <w:rFonts w:ascii="Helvetica" w:hAnsi="Helvetica" w:cs="Helvetica"/>
                <w:b/>
                <w:noProof/>
                <w:sz w:val="16"/>
                <w:szCs w:val="16"/>
              </w:rPr>
              <w:t>2</w:t>
            </w:r>
            <w:r w:rsidR="005F0B14" w:rsidRPr="00694DFD">
              <w:rPr>
                <w:rFonts w:ascii="Helvetica" w:hAnsi="Helvetica" w:cs="Helvetica"/>
                <w:b/>
                <w:sz w:val="16"/>
                <w:szCs w:val="16"/>
              </w:rPr>
              <w:fldChar w:fldCharType="end"/>
            </w:r>
            <w:r w:rsidRPr="00694DFD">
              <w:rPr>
                <w:rFonts w:ascii="Helvetica" w:hAnsi="Helvetica" w:cs="Helvetica"/>
                <w:sz w:val="16"/>
                <w:szCs w:val="16"/>
              </w:rPr>
              <w:t xml:space="preserve"> of </w:t>
            </w:r>
            <w:r w:rsidR="005F0B14" w:rsidRPr="00694DFD">
              <w:rPr>
                <w:rFonts w:ascii="Helvetica" w:hAnsi="Helvetica" w:cs="Helvetica"/>
                <w:b/>
                <w:sz w:val="16"/>
                <w:szCs w:val="16"/>
              </w:rPr>
              <w:fldChar w:fldCharType="begin"/>
            </w:r>
            <w:r w:rsidRPr="00694DFD">
              <w:rPr>
                <w:rFonts w:ascii="Helvetica" w:hAnsi="Helvetica" w:cs="Helvetica"/>
                <w:b/>
                <w:sz w:val="16"/>
                <w:szCs w:val="16"/>
              </w:rPr>
              <w:instrText xml:space="preserve"> NUMPAGES  </w:instrText>
            </w:r>
            <w:r w:rsidR="005F0B14" w:rsidRPr="00694DFD">
              <w:rPr>
                <w:rFonts w:ascii="Helvetica" w:hAnsi="Helvetica" w:cs="Helvetica"/>
                <w:b/>
                <w:sz w:val="16"/>
                <w:szCs w:val="16"/>
              </w:rPr>
              <w:fldChar w:fldCharType="separate"/>
            </w:r>
            <w:r w:rsidR="00265E10">
              <w:rPr>
                <w:rFonts w:ascii="Helvetica" w:hAnsi="Helvetica" w:cs="Helvetica"/>
                <w:b/>
                <w:noProof/>
                <w:sz w:val="16"/>
                <w:szCs w:val="16"/>
              </w:rPr>
              <w:t>8</w:t>
            </w:r>
            <w:r w:rsidR="005F0B14" w:rsidRPr="00694DFD">
              <w:rPr>
                <w:rFonts w:ascii="Helvetica" w:hAnsi="Helvetica" w:cs="Helvetica"/>
                <w:b/>
                <w:sz w:val="16"/>
                <w:szCs w:val="16"/>
              </w:rPr>
              <w:fldChar w:fldCharType="end"/>
            </w:r>
          </w:p>
        </w:sdtContent>
      </w:sdt>
    </w:sdtContent>
  </w:sdt>
  <w:p w:rsidR="00694DFD" w:rsidRPr="00694DFD" w:rsidRDefault="00694DFD">
    <w:pPr>
      <w:pStyle w:val="Footer"/>
      <w:rPr>
        <w:rFonts w:ascii="Helvetica" w:hAnsi="Helvetica" w:cs="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995" w:rsidRDefault="00F73995" w:rsidP="00694DFD">
      <w:pPr>
        <w:spacing w:after="0" w:line="240" w:lineRule="auto"/>
      </w:pPr>
      <w:r>
        <w:separator/>
      </w:r>
    </w:p>
  </w:footnote>
  <w:footnote w:type="continuationSeparator" w:id="0">
    <w:p w:rsidR="00F73995" w:rsidRDefault="00F73995" w:rsidP="00694DFD">
      <w:pPr>
        <w:spacing w:after="0" w:line="240" w:lineRule="auto"/>
      </w:pPr>
      <w:r>
        <w:continuationSeparator/>
      </w:r>
    </w:p>
  </w:footnote>
  <w:footnote w:id="1">
    <w:p w:rsidR="00A9180A" w:rsidRDefault="00A9180A">
      <w:pPr>
        <w:pStyle w:val="FootnoteText"/>
      </w:pPr>
      <w:r>
        <w:rPr>
          <w:rStyle w:val="FootnoteReference"/>
        </w:rPr>
        <w:footnoteRef/>
      </w:r>
      <w:r>
        <w:t xml:space="preserve"> </w:t>
      </w:r>
      <w:r w:rsidRPr="00A9180A">
        <w:rPr>
          <w:sz w:val="16"/>
        </w:rPr>
        <w:t>http://legacy.wlu.ca/calendars/section.php?cal=1&amp;y=61&amp;s=639&amp;ss=2863&amp;sp=2477</w:t>
      </w:r>
    </w:p>
  </w:footnote>
  <w:footnote w:id="2">
    <w:p w:rsidR="000868F5" w:rsidRDefault="000868F5">
      <w:pPr>
        <w:pStyle w:val="FootnoteText"/>
      </w:pPr>
      <w:r>
        <w:rPr>
          <w:rStyle w:val="FootnoteReference"/>
        </w:rPr>
        <w:footnoteRef/>
      </w:r>
      <w:r>
        <w:t xml:space="preserve"> </w:t>
      </w:r>
      <w:r w:rsidRPr="00A9180A">
        <w:rPr>
          <w:sz w:val="16"/>
        </w:rPr>
        <w:t>http://legacy.wlu.ca/calendars/section.php?cal=1&amp;y=61&amp;s=639&amp;ss=2863&amp;sp=2477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80B"/>
    <w:multiLevelType w:val="hybridMultilevel"/>
    <w:tmpl w:val="B78E77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06E71AB"/>
    <w:multiLevelType w:val="hybridMultilevel"/>
    <w:tmpl w:val="1AAC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86"/>
    <w:rsid w:val="000868F5"/>
    <w:rsid w:val="000D1167"/>
    <w:rsid w:val="000E3A26"/>
    <w:rsid w:val="001B554E"/>
    <w:rsid w:val="001C54D0"/>
    <w:rsid w:val="001D4D74"/>
    <w:rsid w:val="002255D3"/>
    <w:rsid w:val="00265E10"/>
    <w:rsid w:val="002B6152"/>
    <w:rsid w:val="002F1310"/>
    <w:rsid w:val="003156D5"/>
    <w:rsid w:val="00325B9F"/>
    <w:rsid w:val="00335E93"/>
    <w:rsid w:val="00370834"/>
    <w:rsid w:val="003C32FE"/>
    <w:rsid w:val="00400224"/>
    <w:rsid w:val="00411FDF"/>
    <w:rsid w:val="00492DA1"/>
    <w:rsid w:val="004B1277"/>
    <w:rsid w:val="005036C4"/>
    <w:rsid w:val="00513636"/>
    <w:rsid w:val="005F0B14"/>
    <w:rsid w:val="00604DDB"/>
    <w:rsid w:val="006425CF"/>
    <w:rsid w:val="0066614A"/>
    <w:rsid w:val="006901D6"/>
    <w:rsid w:val="00694DFD"/>
    <w:rsid w:val="006F0B33"/>
    <w:rsid w:val="006F7232"/>
    <w:rsid w:val="00707B77"/>
    <w:rsid w:val="00732C65"/>
    <w:rsid w:val="007B6FAE"/>
    <w:rsid w:val="008236A1"/>
    <w:rsid w:val="00864978"/>
    <w:rsid w:val="008B5412"/>
    <w:rsid w:val="008B6117"/>
    <w:rsid w:val="008B78B0"/>
    <w:rsid w:val="008C78CB"/>
    <w:rsid w:val="00962A01"/>
    <w:rsid w:val="0098439E"/>
    <w:rsid w:val="00A05D3B"/>
    <w:rsid w:val="00A22529"/>
    <w:rsid w:val="00A710A6"/>
    <w:rsid w:val="00A816A4"/>
    <w:rsid w:val="00A9180A"/>
    <w:rsid w:val="00AB016D"/>
    <w:rsid w:val="00AF1A92"/>
    <w:rsid w:val="00AF4E95"/>
    <w:rsid w:val="00B77360"/>
    <w:rsid w:val="00BC3185"/>
    <w:rsid w:val="00BC6321"/>
    <w:rsid w:val="00C3764E"/>
    <w:rsid w:val="00C7069B"/>
    <w:rsid w:val="00C7352E"/>
    <w:rsid w:val="00D93486"/>
    <w:rsid w:val="00D9703F"/>
    <w:rsid w:val="00E4022B"/>
    <w:rsid w:val="00EC51DE"/>
    <w:rsid w:val="00EE5DFB"/>
    <w:rsid w:val="00F0344A"/>
    <w:rsid w:val="00F45B8D"/>
    <w:rsid w:val="00F54FCC"/>
    <w:rsid w:val="00F73995"/>
    <w:rsid w:val="00F851E9"/>
    <w:rsid w:val="00FE3CF8"/>
    <w:rsid w:val="00FF25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2AA34-B4F5-4C07-8308-D1719EE7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FCC"/>
  </w:style>
  <w:style w:type="paragraph" w:styleId="Heading1">
    <w:name w:val="heading 1"/>
    <w:basedOn w:val="Normal"/>
    <w:next w:val="Normal"/>
    <w:link w:val="Heading1Char"/>
    <w:uiPriority w:val="9"/>
    <w:qFormat/>
    <w:rsid w:val="00A816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16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86"/>
    <w:pPr>
      <w:ind w:left="720"/>
      <w:contextualSpacing/>
    </w:pPr>
  </w:style>
  <w:style w:type="character" w:customStyle="1" w:styleId="Heading1Char">
    <w:name w:val="Heading 1 Char"/>
    <w:basedOn w:val="DefaultParagraphFont"/>
    <w:link w:val="Heading1"/>
    <w:uiPriority w:val="9"/>
    <w:rsid w:val="00A816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816A4"/>
    <w:pPr>
      <w:outlineLvl w:val="9"/>
    </w:pPr>
    <w:rPr>
      <w:lang w:val="en-US" w:eastAsia="en-US"/>
    </w:rPr>
  </w:style>
  <w:style w:type="paragraph" w:styleId="BalloonText">
    <w:name w:val="Balloon Text"/>
    <w:basedOn w:val="Normal"/>
    <w:link w:val="BalloonTextChar"/>
    <w:uiPriority w:val="99"/>
    <w:semiHidden/>
    <w:unhideWhenUsed/>
    <w:rsid w:val="00A8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A4"/>
    <w:rPr>
      <w:rFonts w:ascii="Tahoma" w:hAnsi="Tahoma" w:cs="Tahoma"/>
      <w:sz w:val="16"/>
      <w:szCs w:val="16"/>
    </w:rPr>
  </w:style>
  <w:style w:type="character" w:customStyle="1" w:styleId="Heading2Char">
    <w:name w:val="Heading 2 Char"/>
    <w:basedOn w:val="DefaultParagraphFont"/>
    <w:link w:val="Heading2"/>
    <w:uiPriority w:val="9"/>
    <w:rsid w:val="00A816A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816A4"/>
    <w:pPr>
      <w:spacing w:after="100"/>
      <w:ind w:left="220"/>
    </w:pPr>
  </w:style>
  <w:style w:type="character" w:styleId="Hyperlink">
    <w:name w:val="Hyperlink"/>
    <w:basedOn w:val="DefaultParagraphFont"/>
    <w:uiPriority w:val="99"/>
    <w:unhideWhenUsed/>
    <w:rsid w:val="00A816A4"/>
    <w:rPr>
      <w:color w:val="0000FF" w:themeColor="hyperlink"/>
      <w:u w:val="single"/>
    </w:rPr>
  </w:style>
  <w:style w:type="table" w:styleId="TableGrid">
    <w:name w:val="Table Grid"/>
    <w:basedOn w:val="TableNormal"/>
    <w:uiPriority w:val="59"/>
    <w:rsid w:val="008B54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94D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DFD"/>
  </w:style>
  <w:style w:type="paragraph" w:styleId="Footer">
    <w:name w:val="footer"/>
    <w:basedOn w:val="Normal"/>
    <w:link w:val="FooterChar"/>
    <w:uiPriority w:val="99"/>
    <w:unhideWhenUsed/>
    <w:rsid w:val="00694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DFD"/>
  </w:style>
  <w:style w:type="paragraph" w:styleId="FootnoteText">
    <w:name w:val="footnote text"/>
    <w:basedOn w:val="Normal"/>
    <w:link w:val="FootnoteTextChar"/>
    <w:uiPriority w:val="99"/>
    <w:semiHidden/>
    <w:unhideWhenUsed/>
    <w:rsid w:val="00FF25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52F"/>
    <w:rPr>
      <w:sz w:val="20"/>
      <w:szCs w:val="20"/>
    </w:rPr>
  </w:style>
  <w:style w:type="character" w:styleId="FootnoteReference">
    <w:name w:val="footnote reference"/>
    <w:basedOn w:val="DefaultParagraphFont"/>
    <w:uiPriority w:val="99"/>
    <w:semiHidden/>
    <w:unhideWhenUsed/>
    <w:rsid w:val="00FF25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73864-EC53-4C08-BA15-48019FFE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uscvpci</dc:creator>
  <cp:keywords/>
  <dc:description/>
  <cp:lastModifiedBy>VP Finance</cp:lastModifiedBy>
  <cp:revision>2</cp:revision>
  <cp:lastPrinted>2016-01-05T23:15:00Z</cp:lastPrinted>
  <dcterms:created xsi:type="dcterms:W3CDTF">2016-02-24T20:15:00Z</dcterms:created>
  <dcterms:modified xsi:type="dcterms:W3CDTF">2016-02-24T20:15:00Z</dcterms:modified>
</cp:coreProperties>
</file>